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1DFD" w14:textId="7A383D76" w:rsidR="00C3268A" w:rsidRPr="008C4696" w:rsidRDefault="00E87082" w:rsidP="00C3268A">
      <w:pPr>
        <w:pStyle w:val="BodyText"/>
        <w:spacing w:before="223" w:line="264" w:lineRule="auto"/>
        <w:jc w:val="center"/>
        <w:rPr>
          <w:rFonts w:asciiTheme="minorHAnsi" w:hAnsiTheme="minorHAnsi"/>
          <w:b/>
          <w:sz w:val="28"/>
          <w:szCs w:val="28"/>
        </w:rPr>
      </w:pPr>
      <w:r>
        <w:rPr>
          <w:rFonts w:asciiTheme="minorHAnsi" w:hAnsiTheme="minorHAnsi"/>
          <w:b/>
          <w:sz w:val="28"/>
          <w:szCs w:val="28"/>
        </w:rPr>
        <w:t>Mental Health Parity</w:t>
      </w:r>
      <w:r w:rsidR="008C4696" w:rsidRPr="008C4696">
        <w:rPr>
          <w:rFonts w:asciiTheme="minorHAnsi" w:hAnsiTheme="minorHAnsi"/>
          <w:b/>
          <w:sz w:val="28"/>
          <w:szCs w:val="28"/>
        </w:rPr>
        <w:t xml:space="preserve"> Reporting: </w:t>
      </w:r>
      <w:r w:rsidR="00C56B33" w:rsidRPr="008C4696">
        <w:rPr>
          <w:rFonts w:asciiTheme="minorHAnsi" w:hAnsiTheme="minorHAnsi"/>
          <w:b/>
          <w:sz w:val="28"/>
          <w:szCs w:val="28"/>
        </w:rPr>
        <w:t>Nonquantitative Treatment Limitation (NQTL)</w:t>
      </w:r>
      <w:r w:rsidR="00C62CC4" w:rsidRPr="008C4696">
        <w:rPr>
          <w:rFonts w:asciiTheme="minorHAnsi" w:hAnsiTheme="minorHAnsi"/>
          <w:b/>
          <w:sz w:val="28"/>
          <w:szCs w:val="28"/>
        </w:rPr>
        <w:t xml:space="preserve"> </w:t>
      </w:r>
      <w:r w:rsidR="006F2514" w:rsidRPr="008C4696">
        <w:rPr>
          <w:rFonts w:asciiTheme="minorHAnsi" w:hAnsiTheme="minorHAnsi"/>
          <w:b/>
          <w:sz w:val="28"/>
          <w:szCs w:val="28"/>
        </w:rPr>
        <w:t>Reporting</w:t>
      </w:r>
      <w:r w:rsidR="00C3268A" w:rsidRPr="008C4696">
        <w:rPr>
          <w:rFonts w:asciiTheme="minorHAnsi" w:hAnsiTheme="minorHAnsi"/>
          <w:b/>
          <w:sz w:val="28"/>
          <w:szCs w:val="28"/>
        </w:rPr>
        <w:t xml:space="preserve"> Submission Form</w:t>
      </w:r>
    </w:p>
    <w:p w14:paraId="64F5574F" w14:textId="08032526" w:rsidR="008C4696" w:rsidRDefault="008C4696" w:rsidP="008C4696">
      <w:pPr>
        <w:pStyle w:val="BodyText"/>
        <w:pBdr>
          <w:bottom w:val="single" w:sz="6" w:space="1" w:color="auto"/>
        </w:pBdr>
        <w:spacing w:before="223" w:line="264" w:lineRule="auto"/>
        <w:rPr>
          <w:rFonts w:asciiTheme="minorHAnsi" w:hAnsiTheme="minorHAnsi"/>
          <w:sz w:val="24"/>
          <w:szCs w:val="24"/>
        </w:rPr>
      </w:pPr>
      <w:r>
        <w:rPr>
          <w:rFonts w:asciiTheme="minorHAnsi" w:hAnsiTheme="minorHAnsi"/>
          <w:sz w:val="24"/>
          <w:szCs w:val="24"/>
        </w:rPr>
        <w:t xml:space="preserve">The reporting submission form below is required to be submitted as part of an insurer reporting on NQTLs in compliance with Or Laws 2021, </w:t>
      </w:r>
      <w:proofErr w:type="spellStart"/>
      <w:r>
        <w:rPr>
          <w:rFonts w:asciiTheme="minorHAnsi" w:hAnsiTheme="minorHAnsi"/>
          <w:sz w:val="24"/>
          <w:szCs w:val="24"/>
        </w:rPr>
        <w:t>ch.</w:t>
      </w:r>
      <w:proofErr w:type="spellEnd"/>
      <w:r>
        <w:rPr>
          <w:rFonts w:asciiTheme="minorHAnsi" w:hAnsiTheme="minorHAnsi"/>
          <w:sz w:val="24"/>
          <w:szCs w:val="24"/>
        </w:rPr>
        <w:t xml:space="preserve"> 629. This form </w:t>
      </w:r>
      <w:r w:rsidR="00CC4C94">
        <w:rPr>
          <w:rFonts w:asciiTheme="minorHAnsi" w:hAnsiTheme="minorHAnsi"/>
          <w:sz w:val="24"/>
          <w:szCs w:val="24"/>
        </w:rPr>
        <w:t xml:space="preserve">was </w:t>
      </w:r>
      <w:r>
        <w:rPr>
          <w:rFonts w:asciiTheme="minorHAnsi" w:hAnsiTheme="minorHAnsi"/>
          <w:sz w:val="24"/>
          <w:szCs w:val="24"/>
        </w:rPr>
        <w:t xml:space="preserve">designed by Tim Clement of the American Psychiatric Association and vetted with the HB 3046 rulemaking advisory committee. </w:t>
      </w:r>
      <w:r w:rsidR="00CC4C94">
        <w:rPr>
          <w:rFonts w:asciiTheme="minorHAnsi" w:hAnsiTheme="minorHAnsi"/>
          <w:sz w:val="24"/>
          <w:szCs w:val="24"/>
        </w:rPr>
        <w:t>HB 3046 was codified into Statute 743A.168.</w:t>
      </w:r>
    </w:p>
    <w:p w14:paraId="6CB5438E" w14:textId="77777777" w:rsid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sz w:val="24"/>
          <w:szCs w:val="24"/>
        </w:rPr>
        <w:t>NQTLs are limitations on the scope or duration of benefits for treatment</w:t>
      </w:r>
      <w:r>
        <w:rPr>
          <w:rFonts w:asciiTheme="minorHAnsi" w:hAnsiTheme="minorHAnsi"/>
          <w:sz w:val="24"/>
          <w:szCs w:val="24"/>
        </w:rPr>
        <w:t xml:space="preserve">. These can include but are not limited to: </w:t>
      </w:r>
    </w:p>
    <w:p w14:paraId="7740F9AA" w14:textId="6DE10622"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(A)</w:t>
      </w:r>
      <w:r w:rsidRPr="008C4696">
        <w:rPr>
          <w:rFonts w:asciiTheme="minorHAnsi" w:hAnsiTheme="minorHAnsi"/>
          <w:sz w:val="24"/>
          <w:szCs w:val="24"/>
        </w:rPr>
        <w:t> Medical management standards limiting or excluding benefits based on medical necessity or medical appropriateness, or based on whether the treatment is experimental or investigative;</w:t>
      </w:r>
    </w:p>
    <w:p w14:paraId="12B6D93C"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(B)</w:t>
      </w:r>
      <w:r w:rsidRPr="008C4696">
        <w:rPr>
          <w:rFonts w:asciiTheme="minorHAnsi" w:hAnsiTheme="minorHAnsi"/>
          <w:sz w:val="24"/>
          <w:szCs w:val="24"/>
        </w:rPr>
        <w:t> Formulary design for prescription drugs;</w:t>
      </w:r>
    </w:p>
    <w:p w14:paraId="0BB88A9F"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(C)</w:t>
      </w:r>
      <w:r w:rsidRPr="008C4696">
        <w:rPr>
          <w:rFonts w:asciiTheme="minorHAnsi" w:hAnsiTheme="minorHAnsi"/>
          <w:sz w:val="24"/>
          <w:szCs w:val="24"/>
        </w:rPr>
        <w:t> For </w:t>
      </w:r>
      <w:hyperlink r:id="rId7" w:history="1">
        <w:r w:rsidRPr="008C4696">
          <w:rPr>
            <w:rStyle w:val="Hyperlink"/>
            <w:rFonts w:asciiTheme="minorHAnsi" w:hAnsiTheme="minorHAnsi"/>
            <w:sz w:val="24"/>
            <w:szCs w:val="24"/>
          </w:rPr>
          <w:t>plans</w:t>
        </w:r>
      </w:hyperlink>
      <w:r w:rsidRPr="008C4696">
        <w:rPr>
          <w:rFonts w:asciiTheme="minorHAnsi" w:hAnsiTheme="minorHAnsi"/>
          <w:sz w:val="24"/>
          <w:szCs w:val="24"/>
        </w:rPr>
        <w:t> with multiple network tiers (such as preferred providers and participating providers), network tier design;</w:t>
      </w:r>
    </w:p>
    <w:p w14:paraId="41AAB59A"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(D)</w:t>
      </w:r>
      <w:r w:rsidRPr="008C4696">
        <w:rPr>
          <w:rFonts w:asciiTheme="minorHAnsi" w:hAnsiTheme="minorHAnsi"/>
          <w:sz w:val="24"/>
          <w:szCs w:val="24"/>
        </w:rPr>
        <w:t> Standards for provider admission to participate in a network, including reimbursement rates;</w:t>
      </w:r>
    </w:p>
    <w:p w14:paraId="4D05A57E"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(E)</w:t>
      </w:r>
      <w:r w:rsidRPr="008C4696">
        <w:rPr>
          <w:rFonts w:asciiTheme="minorHAnsi" w:hAnsiTheme="minorHAnsi"/>
          <w:sz w:val="24"/>
          <w:szCs w:val="24"/>
        </w:rPr>
        <w:t> </w:t>
      </w:r>
      <w:hyperlink r:id="rId8" w:history="1">
        <w:r w:rsidRPr="008C4696">
          <w:rPr>
            <w:rStyle w:val="Hyperlink"/>
            <w:rFonts w:asciiTheme="minorHAnsi" w:hAnsiTheme="minorHAnsi"/>
            <w:sz w:val="24"/>
            <w:szCs w:val="24"/>
          </w:rPr>
          <w:t>Plan</w:t>
        </w:r>
      </w:hyperlink>
      <w:r w:rsidRPr="008C4696">
        <w:rPr>
          <w:rFonts w:asciiTheme="minorHAnsi" w:hAnsiTheme="minorHAnsi"/>
          <w:sz w:val="24"/>
          <w:szCs w:val="24"/>
        </w:rPr>
        <w:t> methods for determining usual, customary, and reasonable charges;</w:t>
      </w:r>
    </w:p>
    <w:p w14:paraId="6CAAB6BA"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(F)</w:t>
      </w:r>
      <w:r w:rsidRPr="008C4696">
        <w:rPr>
          <w:rFonts w:asciiTheme="minorHAnsi" w:hAnsiTheme="minorHAnsi"/>
          <w:sz w:val="24"/>
          <w:szCs w:val="24"/>
        </w:rPr>
        <w:t> Refusal to pay for higher-cost therapies until it can be shown that a lower-cost therapy is not effective (also known as fail-first policies or step therapy protocols);</w:t>
      </w:r>
    </w:p>
    <w:p w14:paraId="6C30E33F"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(G)</w:t>
      </w:r>
      <w:r w:rsidRPr="008C4696">
        <w:rPr>
          <w:rFonts w:asciiTheme="minorHAnsi" w:hAnsiTheme="minorHAnsi"/>
          <w:sz w:val="24"/>
          <w:szCs w:val="24"/>
        </w:rPr>
        <w:t> Exclusions based on failure to complete a course of treatment; and</w:t>
      </w:r>
    </w:p>
    <w:p w14:paraId="2A8AD476" w14:textId="77777777"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sidRPr="008C4696">
        <w:rPr>
          <w:rFonts w:asciiTheme="minorHAnsi" w:hAnsiTheme="minorHAnsi"/>
          <w:b/>
          <w:bCs/>
          <w:sz w:val="24"/>
          <w:szCs w:val="24"/>
        </w:rPr>
        <w:t>(H)</w:t>
      </w:r>
      <w:r w:rsidRPr="008C4696">
        <w:rPr>
          <w:rFonts w:asciiTheme="minorHAnsi" w:hAnsiTheme="minorHAnsi"/>
          <w:sz w:val="24"/>
          <w:szCs w:val="24"/>
        </w:rPr>
        <w:t> Restrictions based on geographic location, </w:t>
      </w:r>
      <w:hyperlink r:id="rId9" w:history="1">
        <w:r w:rsidRPr="008C4696">
          <w:rPr>
            <w:rStyle w:val="Hyperlink"/>
            <w:rFonts w:asciiTheme="minorHAnsi" w:hAnsiTheme="minorHAnsi"/>
            <w:sz w:val="24"/>
            <w:szCs w:val="24"/>
          </w:rPr>
          <w:t>facility</w:t>
        </w:r>
      </w:hyperlink>
      <w:r w:rsidRPr="008C4696">
        <w:rPr>
          <w:rFonts w:asciiTheme="minorHAnsi" w:hAnsiTheme="minorHAnsi"/>
          <w:sz w:val="24"/>
          <w:szCs w:val="24"/>
        </w:rPr>
        <w:t> type, provider specialty, and other criteria that limit the scope or duration of benefits for services provided under the </w:t>
      </w:r>
      <w:hyperlink r:id="rId10" w:history="1">
        <w:r w:rsidRPr="008C4696">
          <w:rPr>
            <w:rStyle w:val="Hyperlink"/>
            <w:rFonts w:asciiTheme="minorHAnsi" w:hAnsiTheme="minorHAnsi"/>
            <w:sz w:val="24"/>
            <w:szCs w:val="24"/>
          </w:rPr>
          <w:t>plan</w:t>
        </w:r>
      </w:hyperlink>
      <w:r w:rsidRPr="008C4696">
        <w:rPr>
          <w:rFonts w:asciiTheme="minorHAnsi" w:hAnsiTheme="minorHAnsi"/>
          <w:sz w:val="24"/>
          <w:szCs w:val="24"/>
        </w:rPr>
        <w:t> or coverage.</w:t>
      </w:r>
    </w:p>
    <w:p w14:paraId="081ED8F2" w14:textId="3BF593BF" w:rsidR="008C4696" w:rsidRPr="008C4696" w:rsidRDefault="008C4696" w:rsidP="008C4696">
      <w:pPr>
        <w:pStyle w:val="BodyText"/>
        <w:pBdr>
          <w:bottom w:val="single" w:sz="6" w:space="1" w:color="auto"/>
        </w:pBdr>
        <w:spacing w:before="223" w:line="264" w:lineRule="auto"/>
        <w:rPr>
          <w:rFonts w:asciiTheme="minorHAnsi" w:hAnsiTheme="minorHAnsi"/>
          <w:sz w:val="24"/>
          <w:szCs w:val="24"/>
        </w:rPr>
      </w:pPr>
      <w:r>
        <w:rPr>
          <w:rFonts w:asciiTheme="minorHAnsi" w:hAnsiTheme="minorHAnsi"/>
          <w:sz w:val="24"/>
          <w:szCs w:val="24"/>
        </w:rPr>
        <w:t xml:space="preserve"> More information on NQTLs and examples can be found in </w:t>
      </w:r>
      <w:r w:rsidRPr="008C4696">
        <w:rPr>
          <w:b/>
        </w:rPr>
        <w:t>45 CFR 146.136(c)(4)(ii).</w:t>
      </w:r>
    </w:p>
    <w:p w14:paraId="7EF5E176" w14:textId="45ED3FB0" w:rsidR="008C4696" w:rsidRDefault="008C4696" w:rsidP="00C3268A">
      <w:pPr>
        <w:pStyle w:val="BodyText"/>
        <w:pBdr>
          <w:bottom w:val="single" w:sz="6" w:space="1" w:color="auto"/>
        </w:pBdr>
        <w:spacing w:before="223" w:line="264" w:lineRule="auto"/>
        <w:jc w:val="center"/>
        <w:rPr>
          <w:rFonts w:asciiTheme="minorHAnsi" w:hAnsiTheme="minorHAnsi"/>
          <w:b/>
          <w:sz w:val="24"/>
          <w:szCs w:val="28"/>
        </w:rPr>
      </w:pPr>
      <w:r w:rsidRPr="008C4696">
        <w:rPr>
          <w:rFonts w:asciiTheme="minorHAnsi" w:hAnsiTheme="minorHAnsi"/>
          <w:b/>
          <w:sz w:val="24"/>
          <w:szCs w:val="28"/>
        </w:rPr>
        <w:t xml:space="preserve">Final reports are due by </w:t>
      </w:r>
      <w:r w:rsidR="00E87082">
        <w:rPr>
          <w:rFonts w:asciiTheme="minorHAnsi" w:hAnsiTheme="minorHAnsi"/>
          <w:b/>
          <w:sz w:val="24"/>
          <w:szCs w:val="28"/>
        </w:rPr>
        <w:t>March</w:t>
      </w:r>
      <w:r w:rsidRPr="008C4696">
        <w:rPr>
          <w:rFonts w:asciiTheme="minorHAnsi" w:hAnsiTheme="minorHAnsi"/>
          <w:b/>
          <w:sz w:val="24"/>
          <w:szCs w:val="28"/>
        </w:rPr>
        <w:t xml:space="preserve"> </w:t>
      </w:r>
      <w:r>
        <w:rPr>
          <w:rFonts w:asciiTheme="minorHAnsi" w:hAnsiTheme="minorHAnsi"/>
          <w:b/>
          <w:sz w:val="24"/>
          <w:szCs w:val="28"/>
        </w:rPr>
        <w:t>1, 202</w:t>
      </w:r>
      <w:r w:rsidR="00A63901">
        <w:rPr>
          <w:rFonts w:asciiTheme="minorHAnsi" w:hAnsiTheme="minorHAnsi"/>
          <w:b/>
          <w:sz w:val="24"/>
          <w:szCs w:val="28"/>
        </w:rPr>
        <w:t>6</w:t>
      </w:r>
      <w:r w:rsidR="00573563">
        <w:rPr>
          <w:rFonts w:asciiTheme="minorHAnsi" w:hAnsiTheme="minorHAnsi"/>
          <w:b/>
          <w:sz w:val="24"/>
          <w:szCs w:val="28"/>
        </w:rPr>
        <w:t>.</w:t>
      </w:r>
      <w:r>
        <w:rPr>
          <w:rFonts w:asciiTheme="minorHAnsi" w:hAnsiTheme="minorHAnsi"/>
          <w:b/>
          <w:sz w:val="24"/>
          <w:szCs w:val="28"/>
        </w:rPr>
        <w:t xml:space="preserve"> </w:t>
      </w:r>
    </w:p>
    <w:p w14:paraId="785F9845" w14:textId="5FCB2C80" w:rsidR="008C4696" w:rsidRDefault="008C4696" w:rsidP="00C3268A">
      <w:pPr>
        <w:pStyle w:val="BodyText"/>
        <w:pBdr>
          <w:bottom w:val="single" w:sz="6" w:space="1" w:color="auto"/>
        </w:pBdr>
        <w:spacing w:before="223" w:line="264" w:lineRule="auto"/>
        <w:jc w:val="center"/>
        <w:rPr>
          <w:rFonts w:asciiTheme="minorHAnsi" w:hAnsiTheme="minorHAnsi"/>
          <w:b/>
          <w:sz w:val="24"/>
          <w:szCs w:val="28"/>
        </w:rPr>
      </w:pPr>
      <w:r w:rsidRPr="008C4696">
        <w:rPr>
          <w:rFonts w:asciiTheme="minorHAnsi" w:hAnsiTheme="minorHAnsi"/>
          <w:b/>
          <w:sz w:val="24"/>
          <w:szCs w:val="28"/>
        </w:rPr>
        <w:t>S</w:t>
      </w:r>
      <w:r w:rsidR="00E87082">
        <w:rPr>
          <w:rFonts w:asciiTheme="minorHAnsi" w:hAnsiTheme="minorHAnsi"/>
          <w:b/>
          <w:sz w:val="24"/>
          <w:szCs w:val="28"/>
        </w:rPr>
        <w:t>ubmit reports through SERFF using the TOI “</w:t>
      </w:r>
      <w:r w:rsidR="00E87082" w:rsidRPr="00E87082">
        <w:rPr>
          <w:rFonts w:asciiTheme="minorHAnsi" w:hAnsiTheme="minorHAnsi"/>
          <w:b/>
          <w:sz w:val="24"/>
          <w:szCs w:val="28"/>
        </w:rPr>
        <w:t>Annual Required Reports</w:t>
      </w:r>
      <w:r w:rsidR="00E87082">
        <w:rPr>
          <w:rFonts w:asciiTheme="minorHAnsi" w:hAnsiTheme="minorHAnsi"/>
          <w:b/>
          <w:sz w:val="24"/>
          <w:szCs w:val="28"/>
        </w:rPr>
        <w:t>”</w:t>
      </w:r>
      <w:r w:rsidR="00E87082" w:rsidRPr="00E87082">
        <w:rPr>
          <w:rFonts w:asciiTheme="minorHAnsi" w:hAnsiTheme="minorHAnsi"/>
          <w:b/>
          <w:sz w:val="24"/>
          <w:szCs w:val="28"/>
        </w:rPr>
        <w:t xml:space="preserve"> </w:t>
      </w:r>
      <w:r w:rsidR="00E87082">
        <w:rPr>
          <w:rFonts w:asciiTheme="minorHAnsi" w:hAnsiTheme="minorHAnsi"/>
          <w:b/>
          <w:sz w:val="24"/>
          <w:szCs w:val="28"/>
        </w:rPr>
        <w:t>and the</w:t>
      </w:r>
      <w:r w:rsidR="00E87082" w:rsidRPr="00E87082">
        <w:rPr>
          <w:rFonts w:asciiTheme="minorHAnsi" w:hAnsiTheme="minorHAnsi"/>
          <w:b/>
          <w:sz w:val="24"/>
          <w:szCs w:val="28"/>
        </w:rPr>
        <w:t xml:space="preserve"> Sub-TOI </w:t>
      </w:r>
      <w:r w:rsidR="00E87082">
        <w:rPr>
          <w:rFonts w:asciiTheme="minorHAnsi" w:hAnsiTheme="minorHAnsi"/>
          <w:b/>
          <w:sz w:val="24"/>
          <w:szCs w:val="28"/>
        </w:rPr>
        <w:t>“</w:t>
      </w:r>
      <w:r w:rsidR="00E87082" w:rsidRPr="00E87082">
        <w:rPr>
          <w:rFonts w:asciiTheme="minorHAnsi" w:hAnsiTheme="minorHAnsi"/>
          <w:b/>
          <w:sz w:val="24"/>
          <w:szCs w:val="28"/>
        </w:rPr>
        <w:t>Mental Health Parity</w:t>
      </w:r>
      <w:r w:rsidR="00E87082">
        <w:rPr>
          <w:rFonts w:asciiTheme="minorHAnsi" w:hAnsiTheme="minorHAnsi"/>
          <w:b/>
          <w:sz w:val="24"/>
          <w:szCs w:val="28"/>
        </w:rPr>
        <w:t>”</w:t>
      </w:r>
      <w:r>
        <w:rPr>
          <w:rFonts w:asciiTheme="minorHAnsi" w:hAnsiTheme="minorHAnsi"/>
          <w:b/>
          <w:sz w:val="24"/>
          <w:szCs w:val="28"/>
        </w:rPr>
        <w:t>.</w:t>
      </w:r>
    </w:p>
    <w:p w14:paraId="2117B883" w14:textId="77777777" w:rsidR="008C4696" w:rsidRPr="008C4696" w:rsidRDefault="008C4696" w:rsidP="00C3268A">
      <w:pPr>
        <w:pStyle w:val="BodyText"/>
        <w:pBdr>
          <w:bottom w:val="single" w:sz="6" w:space="1" w:color="auto"/>
        </w:pBdr>
        <w:spacing w:before="223" w:line="264" w:lineRule="auto"/>
        <w:jc w:val="center"/>
        <w:rPr>
          <w:rFonts w:asciiTheme="minorHAnsi" w:hAnsiTheme="minorHAnsi"/>
          <w:b/>
          <w:sz w:val="24"/>
          <w:szCs w:val="28"/>
        </w:rPr>
      </w:pPr>
    </w:p>
    <w:p w14:paraId="1ECD2460" w14:textId="77777777" w:rsidR="00C3268A" w:rsidRPr="008C4696" w:rsidRDefault="00C3268A" w:rsidP="006F2514">
      <w:pPr>
        <w:pStyle w:val="BodyText"/>
        <w:spacing w:before="223" w:line="264" w:lineRule="auto"/>
        <w:jc w:val="center"/>
        <w:rPr>
          <w:rFonts w:asciiTheme="minorHAnsi" w:hAnsiTheme="minorHAnsi"/>
          <w:b/>
          <w:sz w:val="28"/>
          <w:szCs w:val="28"/>
        </w:rPr>
      </w:pPr>
      <w:r w:rsidRPr="008C4696">
        <w:rPr>
          <w:rFonts w:asciiTheme="minorHAnsi" w:hAnsiTheme="minorHAnsi"/>
          <w:b/>
          <w:sz w:val="28"/>
          <w:szCs w:val="28"/>
        </w:rPr>
        <w:lastRenderedPageBreak/>
        <w:t>[</w:t>
      </w:r>
      <w:r w:rsidRPr="008C4696">
        <w:rPr>
          <w:rFonts w:asciiTheme="minorHAnsi" w:hAnsiTheme="minorHAnsi"/>
          <w:b/>
          <w:i/>
          <w:iCs/>
          <w:sz w:val="28"/>
          <w:szCs w:val="28"/>
        </w:rPr>
        <w:t>Insert NQTL</w:t>
      </w:r>
      <w:r w:rsidRPr="008C4696">
        <w:rPr>
          <w:rFonts w:asciiTheme="minorHAnsi" w:hAnsiTheme="minorHAnsi"/>
          <w:b/>
          <w:sz w:val="28"/>
          <w:szCs w:val="28"/>
        </w:rPr>
        <w:t>]</w:t>
      </w:r>
    </w:p>
    <w:p w14:paraId="44317FAA" w14:textId="1162E123" w:rsidR="008F46F7" w:rsidRPr="008C4696" w:rsidRDefault="008F46F7" w:rsidP="00F01953">
      <w:pPr>
        <w:pStyle w:val="BodyText"/>
        <w:spacing w:before="223" w:line="264" w:lineRule="auto"/>
        <w:rPr>
          <w:rFonts w:asciiTheme="minorHAnsi" w:hAnsiTheme="minorHAnsi"/>
          <w:i/>
          <w:sz w:val="22"/>
          <w:szCs w:val="22"/>
        </w:rPr>
      </w:pPr>
      <w:r w:rsidRPr="008C4696">
        <w:rPr>
          <w:rFonts w:asciiTheme="minorHAnsi" w:hAnsiTheme="minorHAnsi"/>
          <w:i/>
          <w:sz w:val="22"/>
          <w:szCs w:val="22"/>
        </w:rPr>
        <w:t xml:space="preserve">This NQTL reporting submission form follows the comparative analysis format specified at 42 U.S.C. 300gg-26(a)(8)(A); 29 U.S.C. 1185a(a)(8)(A); 26 U.S.C. 9812(a)(8)(A). </w:t>
      </w:r>
    </w:p>
    <w:p w14:paraId="39FB80CA" w14:textId="77777777" w:rsidR="008F46F7" w:rsidRPr="008C4696" w:rsidRDefault="008F46F7" w:rsidP="00F01953">
      <w:pPr>
        <w:pStyle w:val="BodyText"/>
        <w:spacing w:before="223" w:line="264" w:lineRule="auto"/>
        <w:rPr>
          <w:rFonts w:asciiTheme="minorHAnsi" w:hAnsiTheme="minorHAnsi"/>
          <w:b/>
          <w:sz w:val="22"/>
          <w:szCs w:val="22"/>
        </w:rPr>
      </w:pPr>
    </w:p>
    <w:p w14:paraId="17858BE1" w14:textId="1F65D77C" w:rsidR="005410B9" w:rsidRPr="008C4696" w:rsidRDefault="005410B9" w:rsidP="00F01953">
      <w:pPr>
        <w:pStyle w:val="BodyText"/>
        <w:spacing w:before="223" w:line="264" w:lineRule="auto"/>
        <w:rPr>
          <w:rFonts w:asciiTheme="minorHAnsi" w:hAnsiTheme="minorHAnsi"/>
          <w:b/>
          <w:sz w:val="22"/>
          <w:szCs w:val="22"/>
        </w:rPr>
      </w:pPr>
      <w:r w:rsidRPr="008C4696">
        <w:rPr>
          <w:rFonts w:asciiTheme="minorHAnsi" w:hAnsiTheme="minorHAnsi"/>
          <w:b/>
          <w:sz w:val="22"/>
          <w:szCs w:val="22"/>
        </w:rPr>
        <w:t xml:space="preserve">Step 1: </w:t>
      </w:r>
      <w:r w:rsidR="00C56B33" w:rsidRPr="008C4696">
        <w:rPr>
          <w:rFonts w:asciiTheme="minorHAnsi" w:hAnsiTheme="minorHAnsi"/>
          <w:iCs/>
          <w:sz w:val="22"/>
          <w:szCs w:val="22"/>
        </w:rPr>
        <w:t>Specify the specific Plan or coverage terms or other relevant terms regarding the NQTL, that applies to such Plan or coverage, and provide a description of all</w:t>
      </w:r>
      <w:r w:rsidR="0010487B" w:rsidRPr="008C4696">
        <w:rPr>
          <w:rFonts w:asciiTheme="minorHAnsi" w:hAnsiTheme="minorHAnsi"/>
          <w:iCs/>
          <w:sz w:val="22"/>
          <w:szCs w:val="22"/>
        </w:rPr>
        <w:t xml:space="preserve"> mental health or substance use disorder (MH/</w:t>
      </w:r>
      <w:r w:rsidR="00C56B33" w:rsidRPr="008C4696">
        <w:rPr>
          <w:rFonts w:asciiTheme="minorHAnsi" w:hAnsiTheme="minorHAnsi"/>
          <w:iCs/>
          <w:sz w:val="22"/>
          <w:szCs w:val="22"/>
        </w:rPr>
        <w:t>SUD</w:t>
      </w:r>
      <w:r w:rsidR="0010487B" w:rsidRPr="008C4696">
        <w:rPr>
          <w:rFonts w:asciiTheme="minorHAnsi" w:hAnsiTheme="minorHAnsi"/>
          <w:iCs/>
          <w:sz w:val="22"/>
          <w:szCs w:val="22"/>
        </w:rPr>
        <w:t>)</w:t>
      </w:r>
      <w:r w:rsidR="00C56B33" w:rsidRPr="008C4696">
        <w:rPr>
          <w:rFonts w:asciiTheme="minorHAnsi" w:hAnsiTheme="minorHAnsi"/>
          <w:iCs/>
          <w:sz w:val="22"/>
          <w:szCs w:val="22"/>
        </w:rPr>
        <w:t xml:space="preserve"> and medical or surgical benefits to which the NQTL applies.</w:t>
      </w:r>
    </w:p>
    <w:p w14:paraId="6F804777" w14:textId="77777777" w:rsidR="00C85001" w:rsidRPr="008C4696" w:rsidRDefault="007D2B2D" w:rsidP="00F01953">
      <w:pPr>
        <w:pStyle w:val="BodyText"/>
        <w:spacing w:before="223" w:line="264" w:lineRule="auto"/>
        <w:rPr>
          <w:rFonts w:asciiTheme="minorHAnsi" w:hAnsiTheme="minorHAnsi"/>
          <w:iCs/>
          <w:sz w:val="22"/>
          <w:szCs w:val="22"/>
        </w:rPr>
      </w:pPr>
      <w:bookmarkStart w:id="0" w:name="_Hlk15997097"/>
      <w:r w:rsidRPr="008C4696">
        <w:rPr>
          <w:rFonts w:asciiTheme="minorHAnsi" w:hAnsiTheme="minorHAnsi"/>
          <w:b/>
          <w:iCs/>
          <w:sz w:val="22"/>
          <w:szCs w:val="22"/>
        </w:rPr>
        <w:t>FAQ 45 Guidance:</w:t>
      </w:r>
      <w:r w:rsidRPr="008C4696">
        <w:rPr>
          <w:rFonts w:asciiTheme="minorHAnsi" w:hAnsiTheme="minorHAnsi"/>
          <w:iCs/>
          <w:sz w:val="22"/>
          <w:szCs w:val="22"/>
        </w:rPr>
        <w:t xml:space="preserve"> </w:t>
      </w:r>
      <w:hyperlink r:id="rId11" w:history="1">
        <w:r w:rsidR="00C56B33" w:rsidRPr="008C4696">
          <w:rPr>
            <w:rStyle w:val="Hyperlink"/>
            <w:rFonts w:asciiTheme="minorHAnsi" w:hAnsiTheme="minorHAnsi"/>
            <w:iCs/>
            <w:sz w:val="22"/>
            <w:szCs w:val="22"/>
          </w:rPr>
          <w:t>The FAQ 45</w:t>
        </w:r>
      </w:hyperlink>
      <w:r w:rsidR="00C56B33" w:rsidRPr="008C4696">
        <w:rPr>
          <w:rFonts w:asciiTheme="minorHAnsi" w:hAnsiTheme="minorHAnsi"/>
          <w:iCs/>
          <w:sz w:val="22"/>
          <w:szCs w:val="22"/>
        </w:rPr>
        <w:t xml:space="preserve"> (Q2, #’s 1 and 2) guidance stipulate that a sufficient analysis </w:t>
      </w:r>
      <w:r w:rsidR="00684C40" w:rsidRPr="008C4696">
        <w:rPr>
          <w:rFonts w:asciiTheme="minorHAnsi" w:hAnsiTheme="minorHAnsi"/>
          <w:iCs/>
          <w:sz w:val="22"/>
          <w:szCs w:val="22"/>
        </w:rPr>
        <w:t xml:space="preserve">should </w:t>
      </w:r>
      <w:r w:rsidR="00C56B33" w:rsidRPr="008C4696">
        <w:rPr>
          <w:rFonts w:asciiTheme="minorHAnsi" w:hAnsiTheme="minorHAnsi"/>
          <w:iCs/>
          <w:sz w:val="22"/>
          <w:szCs w:val="22"/>
        </w:rPr>
        <w:t xml:space="preserve">include: </w:t>
      </w:r>
    </w:p>
    <w:p w14:paraId="4BA42603" w14:textId="00440710" w:rsidR="00C85001" w:rsidRPr="008C4696" w:rsidRDefault="00C56B33" w:rsidP="00F01953">
      <w:pPr>
        <w:pStyle w:val="BodyText"/>
        <w:spacing w:before="223" w:line="264" w:lineRule="auto"/>
        <w:rPr>
          <w:rFonts w:asciiTheme="minorHAnsi" w:hAnsiTheme="minorHAnsi"/>
          <w:iCs/>
          <w:sz w:val="22"/>
          <w:szCs w:val="22"/>
        </w:rPr>
      </w:pPr>
      <w:r w:rsidRPr="008C4696">
        <w:rPr>
          <w:rFonts w:asciiTheme="minorHAnsi" w:hAnsiTheme="minorHAnsi"/>
          <w:iCs/>
          <w:sz w:val="22"/>
          <w:szCs w:val="22"/>
        </w:rPr>
        <w:t xml:space="preserve">A clear description of the specific NQTL, plan terms, and policies at issue; and </w:t>
      </w:r>
    </w:p>
    <w:p w14:paraId="7BDCA885" w14:textId="4CCFAA35" w:rsidR="00C56B33" w:rsidRPr="008C4696" w:rsidRDefault="00C56B33" w:rsidP="00F01953">
      <w:pPr>
        <w:pStyle w:val="BodyText"/>
        <w:spacing w:before="223" w:line="264" w:lineRule="auto"/>
        <w:rPr>
          <w:rFonts w:asciiTheme="minorHAnsi" w:hAnsiTheme="minorHAnsi"/>
          <w:iCs/>
          <w:sz w:val="22"/>
          <w:szCs w:val="22"/>
        </w:rPr>
      </w:pPr>
      <w:r w:rsidRPr="008C4696">
        <w:rPr>
          <w:rFonts w:asciiTheme="minorHAnsi" w:hAnsiTheme="minorHAnsi"/>
          <w:iCs/>
          <w:sz w:val="22"/>
          <w:szCs w:val="22"/>
        </w:rPr>
        <w:t xml:space="preserve">Identification of the specific MH/SUD and medical/surgical benefits to which the NQTL applies within each benefit classification, and a clear statement as to which benefits identified are treated as MH/SUD and which are treated as medical/surgical. </w:t>
      </w:r>
    </w:p>
    <w:p w14:paraId="5B42C317" w14:textId="77777777" w:rsidR="00C56B33" w:rsidRPr="008C4696" w:rsidRDefault="00C56B33" w:rsidP="00F01953">
      <w:pPr>
        <w:pStyle w:val="BodyText"/>
        <w:spacing w:before="223" w:line="264" w:lineRule="auto"/>
        <w:rPr>
          <w:rFonts w:asciiTheme="minorHAnsi" w:hAnsiTheme="minorHAnsi"/>
          <w:i/>
          <w:iCs/>
          <w:sz w:val="22"/>
          <w:szCs w:val="22"/>
        </w:rPr>
      </w:pPr>
    </w:p>
    <w:p w14:paraId="1AC49936" w14:textId="5B3A00EF" w:rsidR="00CD04D9" w:rsidRPr="008C4696" w:rsidRDefault="00BC3BA8" w:rsidP="00F01953">
      <w:pPr>
        <w:pStyle w:val="BodyText"/>
        <w:spacing w:before="223" w:line="264" w:lineRule="auto"/>
        <w:rPr>
          <w:rFonts w:asciiTheme="minorHAnsi" w:hAnsiTheme="minorHAnsi"/>
          <w:i/>
          <w:iCs/>
          <w:sz w:val="22"/>
          <w:szCs w:val="22"/>
        </w:rPr>
      </w:pPr>
      <w:r w:rsidRPr="008C4696">
        <w:rPr>
          <w:rFonts w:asciiTheme="minorHAnsi" w:hAnsiTheme="minorHAnsi"/>
          <w:i/>
          <w:iCs/>
          <w:sz w:val="22"/>
          <w:szCs w:val="22"/>
        </w:rPr>
        <w:t xml:space="preserve">Simply insert “same as ____” whenever an entry is </w:t>
      </w:r>
      <w:r w:rsidR="00B35B43" w:rsidRPr="008C4696">
        <w:rPr>
          <w:rFonts w:asciiTheme="minorHAnsi" w:hAnsiTheme="minorHAnsi"/>
          <w:i/>
          <w:iCs/>
          <w:sz w:val="22"/>
          <w:szCs w:val="22"/>
        </w:rPr>
        <w:t>identical to another entry</w:t>
      </w:r>
    </w:p>
    <w:p w14:paraId="4B6EB284" w14:textId="1FE47761" w:rsidR="00603227" w:rsidRPr="008C4696" w:rsidRDefault="00603227"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in-network:</w:t>
      </w:r>
    </w:p>
    <w:p w14:paraId="02ADC4C6" w14:textId="5F627FFF" w:rsidR="00603227" w:rsidRPr="008C4696" w:rsidRDefault="00603227" w:rsidP="00F01953">
      <w:pPr>
        <w:pStyle w:val="BodyText"/>
        <w:spacing w:before="223" w:line="264" w:lineRule="auto"/>
        <w:rPr>
          <w:rFonts w:asciiTheme="minorHAnsi" w:hAnsiTheme="minorHAnsi"/>
          <w:sz w:val="22"/>
          <w:szCs w:val="22"/>
        </w:rPr>
      </w:pPr>
    </w:p>
    <w:p w14:paraId="60D54FF3" w14:textId="3BD5C4D5" w:rsidR="00603227" w:rsidRPr="008C4696" w:rsidRDefault="00603227" w:rsidP="00F01953">
      <w:pPr>
        <w:pStyle w:val="BodyText"/>
        <w:spacing w:before="223" w:line="264" w:lineRule="auto"/>
        <w:rPr>
          <w:rFonts w:asciiTheme="minorHAnsi" w:hAnsiTheme="minorHAnsi"/>
          <w:b/>
          <w:bCs/>
          <w:sz w:val="22"/>
          <w:szCs w:val="22"/>
        </w:rPr>
      </w:pPr>
      <w:bookmarkStart w:id="1" w:name="_Hlk15996936"/>
      <w:r w:rsidRPr="008C4696">
        <w:rPr>
          <w:rFonts w:asciiTheme="minorHAnsi" w:hAnsiTheme="minorHAnsi"/>
          <w:b/>
          <w:bCs/>
          <w:sz w:val="22"/>
          <w:szCs w:val="22"/>
        </w:rPr>
        <w:t>Inpatient, out-of-network</w:t>
      </w:r>
      <w:r w:rsidR="00B35B43" w:rsidRPr="008C4696">
        <w:rPr>
          <w:rFonts w:asciiTheme="minorHAnsi" w:hAnsiTheme="minorHAnsi"/>
          <w:b/>
          <w:bCs/>
          <w:sz w:val="22"/>
          <w:szCs w:val="22"/>
        </w:rPr>
        <w:t>:</w:t>
      </w:r>
    </w:p>
    <w:p w14:paraId="262E2312" w14:textId="530433F1" w:rsidR="00BC3BA8" w:rsidRPr="008C4696" w:rsidRDefault="00BC3BA8" w:rsidP="00F01953">
      <w:pPr>
        <w:pStyle w:val="BodyText"/>
        <w:spacing w:before="223" w:line="264" w:lineRule="auto"/>
        <w:rPr>
          <w:rFonts w:asciiTheme="minorHAnsi" w:hAnsiTheme="minorHAnsi"/>
          <w:b/>
          <w:bCs/>
          <w:sz w:val="22"/>
          <w:szCs w:val="22"/>
        </w:rPr>
      </w:pPr>
    </w:p>
    <w:p w14:paraId="63498C8D" w14:textId="5F070FAE" w:rsidR="00BC3BA8" w:rsidRPr="008C4696" w:rsidRDefault="00B35B43"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in-network</w:t>
      </w:r>
      <w:r w:rsidR="009365FD" w:rsidRPr="008C4696">
        <w:rPr>
          <w:rFonts w:asciiTheme="minorHAnsi" w:hAnsiTheme="minorHAnsi"/>
          <w:b/>
          <w:bCs/>
          <w:sz w:val="22"/>
          <w:szCs w:val="22"/>
        </w:rPr>
        <w:t>:</w:t>
      </w:r>
    </w:p>
    <w:p w14:paraId="2CF181D8" w14:textId="77777777" w:rsidR="009365FD" w:rsidRPr="008C4696" w:rsidRDefault="009365FD" w:rsidP="00F01953">
      <w:pPr>
        <w:pStyle w:val="BodyText"/>
        <w:spacing w:before="223" w:line="264" w:lineRule="auto"/>
        <w:rPr>
          <w:rFonts w:asciiTheme="minorHAnsi" w:hAnsiTheme="minorHAnsi"/>
          <w:b/>
          <w:bCs/>
          <w:sz w:val="22"/>
          <w:szCs w:val="22"/>
        </w:rPr>
      </w:pPr>
    </w:p>
    <w:p w14:paraId="5F48D616" w14:textId="23319A06" w:rsidR="009365FD" w:rsidRPr="008C4696" w:rsidRDefault="009365FD" w:rsidP="00F01953">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bookmarkStart w:id="2" w:name="_Hlk15996838"/>
      <w:r w:rsidRPr="008C4696">
        <w:rPr>
          <w:rFonts w:asciiTheme="minorHAnsi" w:hAnsiTheme="minorHAnsi"/>
          <w:b/>
          <w:bCs/>
          <w:i/>
          <w:sz w:val="22"/>
          <w:szCs w:val="22"/>
        </w:rPr>
        <w:t>If subclassifications are used</w:t>
      </w:r>
    </w:p>
    <w:p w14:paraId="40EE9852" w14:textId="480F1588" w:rsidR="009365FD" w:rsidRPr="008C4696" w:rsidRDefault="009365FD"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05B9E8FD" w14:textId="77777777" w:rsidR="009365FD" w:rsidRPr="008C4696" w:rsidRDefault="009365FD" w:rsidP="00F01953">
      <w:pPr>
        <w:pStyle w:val="BodyText"/>
        <w:spacing w:before="223" w:line="264" w:lineRule="auto"/>
        <w:rPr>
          <w:rFonts w:asciiTheme="minorHAnsi" w:hAnsiTheme="minorHAnsi"/>
          <w:b/>
          <w:bCs/>
          <w:sz w:val="22"/>
          <w:szCs w:val="22"/>
        </w:rPr>
      </w:pPr>
    </w:p>
    <w:p w14:paraId="17F5B921" w14:textId="5C1FFC5C" w:rsidR="009365FD" w:rsidRPr="008C4696" w:rsidRDefault="009365FD"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52214C2F" w14:textId="77777777" w:rsidR="00F90121" w:rsidRPr="008C4696" w:rsidRDefault="00F90121" w:rsidP="00F01953">
      <w:pPr>
        <w:pStyle w:val="BodyText"/>
        <w:spacing w:before="223" w:line="264" w:lineRule="auto"/>
        <w:rPr>
          <w:rFonts w:asciiTheme="minorHAnsi" w:hAnsiTheme="minorHAnsi"/>
          <w:b/>
          <w:bCs/>
          <w:sz w:val="22"/>
          <w:szCs w:val="22"/>
        </w:rPr>
      </w:pPr>
    </w:p>
    <w:bookmarkEnd w:id="2"/>
    <w:p w14:paraId="55204EC0" w14:textId="62747D17" w:rsidR="009365FD" w:rsidRPr="008C4696" w:rsidRDefault="009365FD"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out-of-network</w:t>
      </w:r>
      <w:r w:rsidR="00F90121" w:rsidRPr="008C4696">
        <w:rPr>
          <w:rFonts w:asciiTheme="minorHAnsi" w:hAnsiTheme="minorHAnsi"/>
          <w:b/>
          <w:bCs/>
          <w:sz w:val="22"/>
          <w:szCs w:val="22"/>
        </w:rPr>
        <w:t>:</w:t>
      </w:r>
    </w:p>
    <w:p w14:paraId="29EFC947" w14:textId="6F096E2D" w:rsidR="00F90121" w:rsidRPr="008C4696" w:rsidRDefault="00F90121" w:rsidP="00F01953">
      <w:pPr>
        <w:pStyle w:val="BodyText"/>
        <w:spacing w:before="223" w:line="264" w:lineRule="auto"/>
        <w:rPr>
          <w:rFonts w:asciiTheme="minorHAnsi" w:hAnsiTheme="minorHAnsi"/>
          <w:b/>
          <w:bCs/>
          <w:sz w:val="22"/>
          <w:szCs w:val="22"/>
        </w:rPr>
      </w:pPr>
    </w:p>
    <w:p w14:paraId="02661468" w14:textId="77777777" w:rsidR="00F90121" w:rsidRPr="008C4696" w:rsidRDefault="00F90121" w:rsidP="00F90121">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21297B20" w14:textId="77777777" w:rsidR="00F90121" w:rsidRPr="008C4696" w:rsidRDefault="00F90121" w:rsidP="00F90121">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4F654DF2" w14:textId="77777777" w:rsidR="00F90121" w:rsidRPr="008C4696" w:rsidRDefault="00F90121" w:rsidP="00F90121">
      <w:pPr>
        <w:pStyle w:val="BodyText"/>
        <w:spacing w:before="223" w:line="264" w:lineRule="auto"/>
        <w:rPr>
          <w:rFonts w:asciiTheme="minorHAnsi" w:hAnsiTheme="minorHAnsi"/>
          <w:b/>
          <w:bCs/>
          <w:sz w:val="22"/>
          <w:szCs w:val="22"/>
        </w:rPr>
      </w:pPr>
    </w:p>
    <w:p w14:paraId="7C6C2D27" w14:textId="77777777" w:rsidR="00F90121" w:rsidRPr="008C4696" w:rsidRDefault="00F90121" w:rsidP="00F90121">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5D0D351E" w14:textId="77777777" w:rsidR="00F90121" w:rsidRPr="008C4696" w:rsidRDefault="00F90121" w:rsidP="00F90121">
      <w:pPr>
        <w:pStyle w:val="BodyText"/>
        <w:spacing w:before="223" w:line="264" w:lineRule="auto"/>
        <w:rPr>
          <w:rFonts w:asciiTheme="minorHAnsi" w:hAnsiTheme="minorHAnsi"/>
          <w:b/>
          <w:bCs/>
          <w:sz w:val="22"/>
          <w:szCs w:val="22"/>
        </w:rPr>
      </w:pPr>
    </w:p>
    <w:p w14:paraId="505C2C26" w14:textId="77777777" w:rsidR="007C790C" w:rsidRPr="008C4696" w:rsidRDefault="007C790C"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Emergency:</w:t>
      </w:r>
    </w:p>
    <w:p w14:paraId="2D191730" w14:textId="77777777" w:rsidR="007C790C" w:rsidRPr="008C4696" w:rsidRDefault="007C790C" w:rsidP="00F01953">
      <w:pPr>
        <w:pStyle w:val="BodyText"/>
        <w:spacing w:before="223" w:line="264" w:lineRule="auto"/>
        <w:rPr>
          <w:rFonts w:asciiTheme="minorHAnsi" w:hAnsiTheme="minorHAnsi"/>
          <w:b/>
          <w:bCs/>
          <w:sz w:val="22"/>
          <w:szCs w:val="22"/>
        </w:rPr>
      </w:pPr>
    </w:p>
    <w:p w14:paraId="19AA9E0C" w14:textId="77777777" w:rsidR="007C790C" w:rsidRPr="008C4696" w:rsidRDefault="007C790C" w:rsidP="00F01953">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Prescription drug:</w:t>
      </w:r>
    </w:p>
    <w:bookmarkEnd w:id="0"/>
    <w:bookmarkEnd w:id="1"/>
    <w:p w14:paraId="5CA50BF6" w14:textId="7427FB32" w:rsidR="005410B9" w:rsidRPr="008C4696" w:rsidRDefault="00F90121" w:rsidP="00820BA4">
      <w:pPr>
        <w:pStyle w:val="BodyText"/>
        <w:spacing w:before="223" w:line="264" w:lineRule="auto"/>
        <w:rPr>
          <w:rFonts w:asciiTheme="minorHAnsi" w:hAnsiTheme="minorHAnsi"/>
          <w:sz w:val="22"/>
          <w:szCs w:val="22"/>
        </w:rPr>
      </w:pPr>
      <w:r w:rsidRPr="008C4696">
        <w:rPr>
          <w:rFonts w:asciiTheme="minorHAnsi" w:hAnsiTheme="minorHAnsi"/>
          <w:sz w:val="22"/>
          <w:szCs w:val="22"/>
        </w:rPr>
        <w:tab/>
      </w:r>
    </w:p>
    <w:p w14:paraId="42C8BC6D" w14:textId="74147C42" w:rsidR="005410B9" w:rsidRPr="008C4696" w:rsidRDefault="005410B9" w:rsidP="00F01953">
      <w:pPr>
        <w:pStyle w:val="BodyText"/>
        <w:spacing w:before="181" w:line="264" w:lineRule="auto"/>
        <w:rPr>
          <w:rFonts w:asciiTheme="minorHAnsi" w:hAnsiTheme="minorHAnsi"/>
          <w:b/>
          <w:sz w:val="22"/>
          <w:szCs w:val="22"/>
        </w:rPr>
      </w:pPr>
      <w:r w:rsidRPr="008C4696">
        <w:rPr>
          <w:rFonts w:asciiTheme="minorHAnsi" w:hAnsiTheme="minorHAnsi"/>
          <w:b/>
          <w:sz w:val="22"/>
          <w:szCs w:val="22"/>
        </w:rPr>
        <w:t xml:space="preserve">Step 2: </w:t>
      </w:r>
      <w:r w:rsidR="003D40C6" w:rsidRPr="008C4696">
        <w:rPr>
          <w:rFonts w:asciiTheme="minorHAnsi" w:hAnsiTheme="minorHAnsi"/>
          <w:iCs/>
          <w:sz w:val="22"/>
          <w:szCs w:val="22"/>
        </w:rPr>
        <w:t>Identify all the factors used to determine that the NQTL will apply to MH/SUD benefits and medical or surgical benefits.</w:t>
      </w:r>
    </w:p>
    <w:p w14:paraId="35DF028A" w14:textId="77777777" w:rsidR="00E928B1" w:rsidRPr="008C4696" w:rsidRDefault="00575DC0" w:rsidP="00CD04D9">
      <w:pPr>
        <w:pStyle w:val="BodyText"/>
        <w:spacing w:before="223" w:line="264" w:lineRule="auto"/>
        <w:rPr>
          <w:rFonts w:asciiTheme="minorHAnsi" w:hAnsiTheme="minorHAnsi"/>
          <w:iCs/>
          <w:sz w:val="22"/>
          <w:szCs w:val="22"/>
        </w:rPr>
      </w:pPr>
      <w:r w:rsidRPr="008C4696">
        <w:rPr>
          <w:rFonts w:asciiTheme="minorHAnsi" w:hAnsiTheme="minorHAnsi"/>
          <w:b/>
          <w:iCs/>
          <w:sz w:val="22"/>
          <w:szCs w:val="22"/>
        </w:rPr>
        <w:t xml:space="preserve">FAQ 45 Guidance: </w:t>
      </w:r>
      <w:hyperlink r:id="rId12" w:history="1">
        <w:r w:rsidRPr="008C4696">
          <w:rPr>
            <w:rStyle w:val="Hyperlink"/>
            <w:rFonts w:asciiTheme="minorHAnsi" w:hAnsiTheme="minorHAnsi"/>
            <w:iCs/>
            <w:sz w:val="22"/>
            <w:szCs w:val="22"/>
          </w:rPr>
          <w:t>The FAQ 45</w:t>
        </w:r>
      </w:hyperlink>
      <w:r w:rsidRPr="008C4696">
        <w:rPr>
          <w:rFonts w:asciiTheme="minorHAnsi" w:hAnsiTheme="minorHAnsi"/>
          <w:iCs/>
          <w:sz w:val="22"/>
          <w:szCs w:val="22"/>
        </w:rPr>
        <w:t xml:space="preserve"> (Q2, #3) guidance stipulates that </w:t>
      </w:r>
      <w:r w:rsidR="00E928B1" w:rsidRPr="008C4696">
        <w:rPr>
          <w:rFonts w:asciiTheme="minorHAnsi" w:hAnsiTheme="minorHAnsi"/>
          <w:iCs/>
          <w:sz w:val="22"/>
          <w:szCs w:val="22"/>
        </w:rPr>
        <w:t>a sufficient</w:t>
      </w:r>
      <w:r w:rsidRPr="008C4696">
        <w:rPr>
          <w:rFonts w:asciiTheme="minorHAnsi" w:hAnsiTheme="minorHAnsi"/>
          <w:iCs/>
          <w:sz w:val="22"/>
          <w:szCs w:val="22"/>
        </w:rPr>
        <w:t xml:space="preserve"> analysis includes: </w:t>
      </w:r>
    </w:p>
    <w:p w14:paraId="4381FCC3" w14:textId="477144F8" w:rsidR="00575DC0" w:rsidRPr="008C4696" w:rsidRDefault="00575DC0" w:rsidP="00CD04D9">
      <w:pPr>
        <w:pStyle w:val="BodyText"/>
        <w:spacing w:before="223" w:line="264" w:lineRule="auto"/>
        <w:rPr>
          <w:rFonts w:asciiTheme="minorHAnsi" w:hAnsiTheme="minorHAnsi"/>
          <w:iCs/>
          <w:sz w:val="22"/>
          <w:szCs w:val="22"/>
        </w:rPr>
      </w:pPr>
      <w:r w:rsidRPr="008C4696">
        <w:rPr>
          <w:rFonts w:asciiTheme="minorHAnsi" w:hAnsiTheme="minorHAnsi"/>
          <w:iCs/>
          <w:sz w:val="22"/>
          <w:szCs w:val="22"/>
        </w:rPr>
        <w:t xml:space="preserve">Identification of any factors, evidentiary standards or sources, or strategies or processes considered in the design or application of the NQTL and in determining which benefits, including both MH/SUD benefits and medical/surgical benefits, are subject to the NQTL. Analyses should explain whether any factors were given more weight than others and the reason(s) for doing so, including an evaluation of any specific data used in the determination. </w:t>
      </w:r>
    </w:p>
    <w:p w14:paraId="2E338CC6" w14:textId="6CCA8A98" w:rsidR="00CD04D9" w:rsidRPr="008C4696" w:rsidRDefault="00CD04D9" w:rsidP="00CD04D9">
      <w:pPr>
        <w:pStyle w:val="BodyText"/>
        <w:spacing w:before="223" w:line="264" w:lineRule="auto"/>
        <w:rPr>
          <w:rFonts w:asciiTheme="minorHAnsi" w:hAnsiTheme="minorHAnsi"/>
          <w:i/>
          <w:iCs/>
          <w:sz w:val="22"/>
          <w:szCs w:val="22"/>
        </w:rPr>
      </w:pPr>
      <w:r w:rsidRPr="008C4696">
        <w:rPr>
          <w:rFonts w:asciiTheme="minorHAnsi" w:hAnsiTheme="minorHAnsi"/>
          <w:i/>
          <w:iCs/>
          <w:sz w:val="22"/>
          <w:szCs w:val="22"/>
        </w:rPr>
        <w:t>Simply insert “same as ____” whenever an entry is identical to another entry</w:t>
      </w:r>
    </w:p>
    <w:p w14:paraId="0AAC453A"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in-network:</w:t>
      </w:r>
    </w:p>
    <w:p w14:paraId="0DE86584" w14:textId="77777777" w:rsidR="00CD04D9" w:rsidRPr="008C4696" w:rsidRDefault="00CD04D9" w:rsidP="00CD04D9">
      <w:pPr>
        <w:pStyle w:val="BodyText"/>
        <w:spacing w:before="223" w:line="264" w:lineRule="auto"/>
        <w:rPr>
          <w:rFonts w:asciiTheme="minorHAnsi" w:hAnsiTheme="minorHAnsi"/>
          <w:sz w:val="22"/>
          <w:szCs w:val="22"/>
        </w:rPr>
      </w:pPr>
    </w:p>
    <w:p w14:paraId="278B2935"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out-of-network:</w:t>
      </w:r>
    </w:p>
    <w:p w14:paraId="20B8AF32" w14:textId="77777777" w:rsidR="00CD04D9" w:rsidRPr="008C4696" w:rsidRDefault="00CD04D9" w:rsidP="00CD04D9">
      <w:pPr>
        <w:pStyle w:val="BodyText"/>
        <w:spacing w:before="223" w:line="264" w:lineRule="auto"/>
        <w:rPr>
          <w:rFonts w:asciiTheme="minorHAnsi" w:hAnsiTheme="minorHAnsi"/>
          <w:b/>
          <w:bCs/>
          <w:sz w:val="22"/>
          <w:szCs w:val="22"/>
        </w:rPr>
      </w:pPr>
    </w:p>
    <w:p w14:paraId="6825DBF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in-network:</w:t>
      </w:r>
    </w:p>
    <w:p w14:paraId="0F739108" w14:textId="77777777" w:rsidR="00CD04D9" w:rsidRPr="008C4696" w:rsidRDefault="00CD04D9" w:rsidP="00CD04D9">
      <w:pPr>
        <w:pStyle w:val="BodyText"/>
        <w:spacing w:before="223" w:line="264" w:lineRule="auto"/>
        <w:rPr>
          <w:rFonts w:asciiTheme="minorHAnsi" w:hAnsiTheme="minorHAnsi"/>
          <w:b/>
          <w:bCs/>
          <w:sz w:val="22"/>
          <w:szCs w:val="22"/>
        </w:rPr>
      </w:pPr>
    </w:p>
    <w:p w14:paraId="5F8FA9A2"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i/>
          <w:sz w:val="22"/>
          <w:szCs w:val="22"/>
        </w:rPr>
        <w:tab/>
        <w:t>If subclassifications are used</w:t>
      </w:r>
    </w:p>
    <w:p w14:paraId="256BA1DE"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2D2D7859" w14:textId="77777777" w:rsidR="00CD04D9" w:rsidRPr="008C4696" w:rsidRDefault="00CD04D9" w:rsidP="00CD04D9">
      <w:pPr>
        <w:pStyle w:val="BodyText"/>
        <w:spacing w:before="223" w:line="264" w:lineRule="auto"/>
        <w:rPr>
          <w:rFonts w:asciiTheme="minorHAnsi" w:hAnsiTheme="minorHAnsi"/>
          <w:b/>
          <w:bCs/>
          <w:sz w:val="22"/>
          <w:szCs w:val="22"/>
        </w:rPr>
      </w:pPr>
    </w:p>
    <w:p w14:paraId="446EB8B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66B1EC4C" w14:textId="77777777" w:rsidR="00CD04D9" w:rsidRPr="008C4696" w:rsidRDefault="00CD04D9" w:rsidP="00CD04D9">
      <w:pPr>
        <w:pStyle w:val="BodyText"/>
        <w:spacing w:before="223" w:line="264" w:lineRule="auto"/>
        <w:rPr>
          <w:rFonts w:asciiTheme="minorHAnsi" w:hAnsiTheme="minorHAnsi"/>
          <w:b/>
          <w:bCs/>
          <w:sz w:val="22"/>
          <w:szCs w:val="22"/>
        </w:rPr>
      </w:pPr>
    </w:p>
    <w:p w14:paraId="52C2FDF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out-of-network:</w:t>
      </w:r>
    </w:p>
    <w:p w14:paraId="1D94FAB1" w14:textId="77777777" w:rsidR="00CD04D9" w:rsidRPr="008C4696" w:rsidRDefault="00CD04D9" w:rsidP="00CD04D9">
      <w:pPr>
        <w:pStyle w:val="BodyText"/>
        <w:spacing w:before="223" w:line="264" w:lineRule="auto"/>
        <w:rPr>
          <w:rFonts w:asciiTheme="minorHAnsi" w:hAnsiTheme="minorHAnsi"/>
          <w:b/>
          <w:bCs/>
          <w:sz w:val="22"/>
          <w:szCs w:val="22"/>
        </w:rPr>
      </w:pPr>
    </w:p>
    <w:p w14:paraId="7762209B"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i/>
          <w:sz w:val="22"/>
          <w:szCs w:val="22"/>
        </w:rPr>
        <w:tab/>
        <w:t>If subclassifications are used</w:t>
      </w:r>
    </w:p>
    <w:p w14:paraId="0A89BF04"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6171B4B9" w14:textId="77777777" w:rsidR="00CD04D9" w:rsidRPr="008C4696" w:rsidRDefault="00CD04D9" w:rsidP="00CD04D9">
      <w:pPr>
        <w:pStyle w:val="BodyText"/>
        <w:spacing w:before="223" w:line="264" w:lineRule="auto"/>
        <w:rPr>
          <w:rFonts w:asciiTheme="minorHAnsi" w:hAnsiTheme="minorHAnsi"/>
          <w:b/>
          <w:bCs/>
          <w:sz w:val="22"/>
          <w:szCs w:val="22"/>
        </w:rPr>
      </w:pPr>
    </w:p>
    <w:p w14:paraId="622F06DB"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4126DDBE" w14:textId="77777777" w:rsidR="00CD04D9" w:rsidRPr="008C4696" w:rsidRDefault="00CD04D9" w:rsidP="00CD04D9">
      <w:pPr>
        <w:pStyle w:val="BodyText"/>
        <w:spacing w:before="223" w:line="264" w:lineRule="auto"/>
        <w:rPr>
          <w:rFonts w:asciiTheme="minorHAnsi" w:hAnsiTheme="minorHAnsi"/>
          <w:b/>
          <w:bCs/>
          <w:sz w:val="22"/>
          <w:szCs w:val="22"/>
        </w:rPr>
      </w:pPr>
    </w:p>
    <w:p w14:paraId="0B15A83B"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Emergency:</w:t>
      </w:r>
    </w:p>
    <w:p w14:paraId="58E3899E" w14:textId="77777777" w:rsidR="00CD04D9" w:rsidRPr="008C4696" w:rsidRDefault="00CD04D9" w:rsidP="00CD04D9">
      <w:pPr>
        <w:pStyle w:val="BodyText"/>
        <w:spacing w:before="223" w:line="264" w:lineRule="auto"/>
        <w:rPr>
          <w:rFonts w:asciiTheme="minorHAnsi" w:hAnsiTheme="minorHAnsi"/>
          <w:b/>
          <w:bCs/>
          <w:sz w:val="22"/>
          <w:szCs w:val="22"/>
        </w:rPr>
      </w:pPr>
    </w:p>
    <w:p w14:paraId="2C23565B"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Prescription drug:</w:t>
      </w:r>
    </w:p>
    <w:p w14:paraId="2F50126A" w14:textId="43A19288" w:rsidR="005410B9" w:rsidRPr="008C4696" w:rsidRDefault="005410B9" w:rsidP="00F01953">
      <w:pPr>
        <w:pStyle w:val="BodyText"/>
        <w:spacing w:before="8"/>
        <w:rPr>
          <w:rFonts w:asciiTheme="minorHAnsi" w:hAnsiTheme="minorHAnsi"/>
          <w:sz w:val="22"/>
          <w:szCs w:val="22"/>
        </w:rPr>
      </w:pPr>
    </w:p>
    <w:p w14:paraId="287F4AB3" w14:textId="77777777" w:rsidR="00820BA4" w:rsidRPr="008C4696" w:rsidRDefault="00820BA4" w:rsidP="00F01953">
      <w:pPr>
        <w:pStyle w:val="BodyText"/>
        <w:spacing w:before="8"/>
        <w:rPr>
          <w:rFonts w:asciiTheme="minorHAnsi" w:hAnsiTheme="minorHAnsi"/>
          <w:sz w:val="22"/>
          <w:szCs w:val="22"/>
        </w:rPr>
      </w:pPr>
    </w:p>
    <w:p w14:paraId="604D1E28" w14:textId="53D4DAD6" w:rsidR="005410B9" w:rsidRPr="008C4696" w:rsidRDefault="005410B9" w:rsidP="000C1D07">
      <w:pPr>
        <w:pStyle w:val="BodyText"/>
        <w:spacing w:before="89" w:line="264" w:lineRule="auto"/>
        <w:ind w:right="1381"/>
        <w:rPr>
          <w:rFonts w:asciiTheme="minorHAnsi" w:hAnsiTheme="minorHAnsi"/>
          <w:iCs/>
          <w:sz w:val="22"/>
          <w:szCs w:val="22"/>
        </w:rPr>
      </w:pPr>
      <w:r w:rsidRPr="008C4696">
        <w:rPr>
          <w:rFonts w:asciiTheme="minorHAnsi" w:hAnsiTheme="minorHAnsi"/>
          <w:b/>
          <w:sz w:val="22"/>
          <w:szCs w:val="22"/>
        </w:rPr>
        <w:t xml:space="preserve">Step 3: </w:t>
      </w:r>
      <w:r w:rsidR="00575DC0" w:rsidRPr="008C4696">
        <w:rPr>
          <w:rFonts w:asciiTheme="minorHAnsi" w:hAnsiTheme="minorHAnsi"/>
          <w:iCs/>
          <w:sz w:val="22"/>
          <w:szCs w:val="22"/>
        </w:rPr>
        <w:t>Provide the evidentiary standards used for the factors identified in Step 2, when applicable, provided that every factor shall be defined, and any other source or evidence relied upon to design and apply the NQTL to MH/SUD benefits and medical or surgical benefits.</w:t>
      </w:r>
    </w:p>
    <w:p w14:paraId="3B571200" w14:textId="77777777" w:rsidR="00463FA4" w:rsidRPr="008C4696" w:rsidRDefault="00463FA4" w:rsidP="000C1D07">
      <w:pPr>
        <w:pStyle w:val="BodyText"/>
        <w:spacing w:before="89" w:line="264" w:lineRule="auto"/>
        <w:ind w:right="1381"/>
        <w:rPr>
          <w:rFonts w:asciiTheme="minorHAnsi" w:hAnsiTheme="minorHAnsi"/>
          <w:b/>
          <w:sz w:val="22"/>
          <w:szCs w:val="22"/>
        </w:rPr>
      </w:pPr>
    </w:p>
    <w:p w14:paraId="418972C2" w14:textId="77777777" w:rsidR="00152217" w:rsidRPr="008C4696" w:rsidRDefault="00C45D31" w:rsidP="000C1D07">
      <w:pPr>
        <w:pStyle w:val="BodyText"/>
        <w:spacing w:before="89" w:line="264" w:lineRule="auto"/>
        <w:ind w:right="1381"/>
        <w:rPr>
          <w:rFonts w:asciiTheme="minorHAnsi" w:hAnsiTheme="minorHAnsi"/>
          <w:iCs/>
          <w:sz w:val="22"/>
          <w:szCs w:val="22"/>
        </w:rPr>
      </w:pPr>
      <w:bookmarkStart w:id="3" w:name="_Hlk73768532"/>
      <w:r w:rsidRPr="008C4696">
        <w:rPr>
          <w:rFonts w:asciiTheme="minorHAnsi" w:hAnsiTheme="minorHAnsi"/>
          <w:b/>
          <w:iCs/>
          <w:sz w:val="22"/>
          <w:szCs w:val="22"/>
        </w:rPr>
        <w:t>FAQ 45 Guidance:</w:t>
      </w:r>
      <w:r w:rsidRPr="008C4696">
        <w:rPr>
          <w:rFonts w:asciiTheme="minorHAnsi" w:hAnsiTheme="minorHAnsi"/>
          <w:iCs/>
          <w:sz w:val="22"/>
          <w:szCs w:val="22"/>
        </w:rPr>
        <w:t xml:space="preserve"> </w:t>
      </w:r>
      <w:hyperlink r:id="rId13" w:history="1">
        <w:r w:rsidRPr="008C4696">
          <w:rPr>
            <w:rStyle w:val="Hyperlink"/>
            <w:rFonts w:asciiTheme="minorHAnsi" w:hAnsiTheme="minorHAnsi"/>
            <w:iCs/>
            <w:sz w:val="22"/>
            <w:szCs w:val="22"/>
          </w:rPr>
          <w:t>The FAQ 45</w:t>
        </w:r>
      </w:hyperlink>
      <w:r w:rsidRPr="008C4696">
        <w:rPr>
          <w:rFonts w:asciiTheme="minorHAnsi" w:hAnsiTheme="minorHAnsi"/>
          <w:iCs/>
          <w:sz w:val="22"/>
          <w:szCs w:val="22"/>
        </w:rPr>
        <w:t xml:space="preserve"> (Q 2, # 4) guidance </w:t>
      </w:r>
      <w:r w:rsidR="00152217" w:rsidRPr="008C4696">
        <w:rPr>
          <w:rFonts w:asciiTheme="minorHAnsi" w:hAnsiTheme="minorHAnsi"/>
          <w:iCs/>
          <w:sz w:val="22"/>
          <w:szCs w:val="22"/>
        </w:rPr>
        <w:t>stipulates that a sufficient response includes</w:t>
      </w:r>
      <w:r w:rsidRPr="008C4696">
        <w:rPr>
          <w:rFonts w:asciiTheme="minorHAnsi" w:hAnsiTheme="minorHAnsi"/>
          <w:iCs/>
          <w:sz w:val="22"/>
          <w:szCs w:val="22"/>
        </w:rPr>
        <w:t xml:space="preserve">: </w:t>
      </w:r>
      <w:bookmarkEnd w:id="3"/>
    </w:p>
    <w:p w14:paraId="2B625647" w14:textId="77777777" w:rsidR="00152217" w:rsidRPr="008C4696" w:rsidRDefault="00C45D31" w:rsidP="000C1D07">
      <w:pPr>
        <w:pStyle w:val="BodyText"/>
        <w:spacing w:before="89" w:line="264" w:lineRule="auto"/>
        <w:ind w:right="1381"/>
        <w:rPr>
          <w:rFonts w:asciiTheme="minorHAnsi" w:hAnsiTheme="minorHAnsi"/>
          <w:iCs/>
          <w:sz w:val="22"/>
          <w:szCs w:val="22"/>
        </w:rPr>
      </w:pPr>
      <w:r w:rsidRPr="008C4696">
        <w:rPr>
          <w:rFonts w:asciiTheme="minorHAnsi" w:hAnsiTheme="minorHAnsi"/>
          <w:iCs/>
          <w:sz w:val="22"/>
          <w:szCs w:val="22"/>
        </w:rPr>
        <w:t>To the extent the plan or issuer defines any of the factors, evidentiary standards, strategies, or processes in a quantitative manner, it must include the precise definitions used and any supporting sources</w:t>
      </w:r>
      <w:r w:rsidR="003E72F8" w:rsidRPr="008C4696">
        <w:rPr>
          <w:rFonts w:asciiTheme="minorHAnsi" w:hAnsiTheme="minorHAnsi"/>
          <w:iCs/>
          <w:sz w:val="22"/>
          <w:szCs w:val="22"/>
        </w:rPr>
        <w:t>.</w:t>
      </w:r>
      <w:r w:rsidR="00CA7545" w:rsidRPr="008C4696">
        <w:rPr>
          <w:rFonts w:asciiTheme="minorHAnsi" w:hAnsiTheme="minorHAnsi"/>
          <w:iCs/>
          <w:sz w:val="22"/>
          <w:szCs w:val="22"/>
        </w:rPr>
        <w:t xml:space="preserve"> </w:t>
      </w:r>
    </w:p>
    <w:p w14:paraId="03548977" w14:textId="77777777" w:rsidR="00152217" w:rsidRPr="008C4696" w:rsidRDefault="003E72F8" w:rsidP="000C1D07">
      <w:pPr>
        <w:pStyle w:val="BodyText"/>
        <w:spacing w:before="89" w:line="264" w:lineRule="auto"/>
        <w:ind w:right="1381"/>
        <w:rPr>
          <w:rFonts w:asciiTheme="minorHAnsi" w:hAnsiTheme="minorHAnsi"/>
          <w:iCs/>
          <w:sz w:val="22"/>
          <w:szCs w:val="22"/>
        </w:rPr>
      </w:pPr>
      <w:r w:rsidRPr="008C4696">
        <w:rPr>
          <w:rFonts w:asciiTheme="minorHAnsi" w:hAnsiTheme="minorHAnsi"/>
          <w:iCs/>
          <w:sz w:val="22"/>
          <w:szCs w:val="22"/>
        </w:rPr>
        <w:t>The</w:t>
      </w:r>
      <w:r w:rsidR="00152217" w:rsidRPr="008C4696">
        <w:rPr>
          <w:rFonts w:asciiTheme="minorHAnsi" w:hAnsiTheme="minorHAnsi"/>
          <w:iCs/>
          <w:sz w:val="22"/>
          <w:szCs w:val="22"/>
        </w:rPr>
        <w:t xml:space="preserve"> FAQ 45</w:t>
      </w:r>
      <w:r w:rsidRPr="008C4696">
        <w:rPr>
          <w:rFonts w:asciiTheme="minorHAnsi" w:hAnsiTheme="minorHAnsi"/>
          <w:iCs/>
          <w:sz w:val="22"/>
          <w:szCs w:val="22"/>
        </w:rPr>
        <w:t xml:space="preserve"> guidance </w:t>
      </w:r>
      <w:r w:rsidR="00CA7545" w:rsidRPr="008C4696">
        <w:rPr>
          <w:rFonts w:asciiTheme="minorHAnsi" w:hAnsiTheme="minorHAnsi"/>
          <w:iCs/>
          <w:sz w:val="22"/>
          <w:szCs w:val="22"/>
        </w:rPr>
        <w:t>(</w:t>
      </w:r>
      <w:r w:rsidR="00C45D31" w:rsidRPr="008C4696">
        <w:rPr>
          <w:rFonts w:asciiTheme="minorHAnsi" w:hAnsiTheme="minorHAnsi"/>
          <w:iCs/>
          <w:sz w:val="22"/>
          <w:szCs w:val="22"/>
        </w:rPr>
        <w:t>Q 3, # 5)</w:t>
      </w:r>
      <w:r w:rsidRPr="008C4696">
        <w:rPr>
          <w:rFonts w:asciiTheme="minorHAnsi" w:hAnsiTheme="minorHAnsi"/>
          <w:iCs/>
          <w:sz w:val="22"/>
          <w:szCs w:val="22"/>
        </w:rPr>
        <w:t xml:space="preserve"> states that the following is insufficient:</w:t>
      </w:r>
      <w:r w:rsidR="00C45D31" w:rsidRPr="008C4696">
        <w:rPr>
          <w:rFonts w:asciiTheme="minorHAnsi" w:hAnsiTheme="minorHAnsi"/>
          <w:iCs/>
          <w:sz w:val="22"/>
          <w:szCs w:val="22"/>
        </w:rPr>
        <w:t xml:space="preserve"> </w:t>
      </w:r>
    </w:p>
    <w:p w14:paraId="098AC7AA" w14:textId="796B63D3" w:rsidR="005410B9" w:rsidRPr="008C4696" w:rsidRDefault="00C45D31" w:rsidP="000C1D07">
      <w:pPr>
        <w:pStyle w:val="BodyText"/>
        <w:spacing w:before="89" w:line="264" w:lineRule="auto"/>
        <w:ind w:right="1381"/>
        <w:rPr>
          <w:rFonts w:asciiTheme="minorHAnsi" w:hAnsiTheme="minorHAnsi"/>
          <w:sz w:val="22"/>
          <w:szCs w:val="22"/>
        </w:rPr>
      </w:pPr>
      <w:r w:rsidRPr="008C4696">
        <w:rPr>
          <w:rFonts w:asciiTheme="minorHAnsi" w:hAnsiTheme="minorHAnsi"/>
          <w:iCs/>
          <w:sz w:val="22"/>
          <w:szCs w:val="22"/>
        </w:rPr>
        <w:t xml:space="preserve">Reference to factors and evidentiary standards that were defined or applied in a quantitative manner, </w:t>
      </w:r>
      <w:r w:rsidR="007F709E" w:rsidRPr="008C4696">
        <w:rPr>
          <w:rFonts w:asciiTheme="minorHAnsi" w:hAnsiTheme="minorHAnsi"/>
          <w:iCs/>
          <w:sz w:val="22"/>
          <w:szCs w:val="22"/>
        </w:rPr>
        <w:t>without the precise definitions,</w:t>
      </w:r>
      <w:r w:rsidRPr="008C4696">
        <w:rPr>
          <w:rFonts w:asciiTheme="minorHAnsi" w:hAnsiTheme="minorHAnsi"/>
          <w:iCs/>
          <w:sz w:val="22"/>
          <w:szCs w:val="22"/>
        </w:rPr>
        <w:t xml:space="preserve"> data, and information necessary to assess their development or application</w:t>
      </w:r>
      <w:r w:rsidR="005410B9" w:rsidRPr="008C4696">
        <w:rPr>
          <w:rFonts w:asciiTheme="minorHAnsi" w:hAnsiTheme="minorHAnsi"/>
          <w:sz w:val="22"/>
          <w:szCs w:val="22"/>
        </w:rPr>
        <w:t>.</w:t>
      </w:r>
      <w:r w:rsidR="007F709E" w:rsidRPr="008C4696">
        <w:rPr>
          <w:rFonts w:asciiTheme="minorHAnsi" w:hAnsiTheme="minorHAnsi"/>
          <w:sz w:val="22"/>
          <w:szCs w:val="22"/>
        </w:rPr>
        <w:t xml:space="preserve"> </w:t>
      </w:r>
    </w:p>
    <w:p w14:paraId="49A6814F" w14:textId="13BBA00C" w:rsidR="0012342C" w:rsidRPr="008C4696" w:rsidRDefault="0012342C" w:rsidP="000C1D07">
      <w:pPr>
        <w:pStyle w:val="BodyText"/>
        <w:spacing w:line="264" w:lineRule="auto"/>
        <w:ind w:right="1163"/>
        <w:rPr>
          <w:rFonts w:asciiTheme="minorHAnsi" w:hAnsiTheme="minorHAnsi"/>
          <w:sz w:val="22"/>
          <w:szCs w:val="22"/>
        </w:rPr>
      </w:pPr>
    </w:p>
    <w:p w14:paraId="267E7FBE" w14:textId="0131330F" w:rsidR="00CD04D9" w:rsidRPr="008C4696" w:rsidRDefault="00CD04D9" w:rsidP="00CD04D9">
      <w:pPr>
        <w:pStyle w:val="BodyText"/>
        <w:spacing w:before="223" w:line="264" w:lineRule="auto"/>
        <w:rPr>
          <w:rFonts w:asciiTheme="minorHAnsi" w:hAnsiTheme="minorHAnsi"/>
          <w:i/>
          <w:iCs/>
          <w:sz w:val="22"/>
          <w:szCs w:val="22"/>
        </w:rPr>
      </w:pPr>
      <w:r w:rsidRPr="008C4696">
        <w:rPr>
          <w:rFonts w:asciiTheme="minorHAnsi" w:hAnsiTheme="minorHAnsi"/>
          <w:i/>
          <w:iCs/>
          <w:sz w:val="22"/>
          <w:szCs w:val="22"/>
        </w:rPr>
        <w:t>Simply insert “same as ____” whenever an entry is identical to another entry</w:t>
      </w:r>
    </w:p>
    <w:p w14:paraId="402D2351" w14:textId="77777777" w:rsidR="0033506B" w:rsidRPr="008C4696" w:rsidRDefault="0033506B" w:rsidP="00CD04D9">
      <w:pPr>
        <w:pStyle w:val="BodyText"/>
        <w:spacing w:before="223" w:line="264" w:lineRule="auto"/>
        <w:rPr>
          <w:rFonts w:asciiTheme="minorHAnsi" w:hAnsiTheme="minorHAnsi"/>
          <w:i/>
          <w:iCs/>
          <w:sz w:val="22"/>
          <w:szCs w:val="22"/>
        </w:rPr>
      </w:pPr>
    </w:p>
    <w:p w14:paraId="5DF771D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in-network:</w:t>
      </w:r>
    </w:p>
    <w:p w14:paraId="78D637F0" w14:textId="77777777" w:rsidR="00CD04D9" w:rsidRPr="008C4696" w:rsidRDefault="00CD04D9" w:rsidP="00CD04D9">
      <w:pPr>
        <w:pStyle w:val="BodyText"/>
        <w:spacing w:before="223" w:line="264" w:lineRule="auto"/>
        <w:rPr>
          <w:rFonts w:asciiTheme="minorHAnsi" w:hAnsiTheme="minorHAnsi"/>
          <w:sz w:val="22"/>
          <w:szCs w:val="22"/>
        </w:rPr>
      </w:pPr>
    </w:p>
    <w:p w14:paraId="4D2CEA4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out-of-network:</w:t>
      </w:r>
    </w:p>
    <w:p w14:paraId="4F25460B" w14:textId="77777777" w:rsidR="00CD04D9" w:rsidRPr="008C4696" w:rsidRDefault="00CD04D9" w:rsidP="00CD04D9">
      <w:pPr>
        <w:pStyle w:val="BodyText"/>
        <w:spacing w:before="223" w:line="264" w:lineRule="auto"/>
        <w:rPr>
          <w:rFonts w:asciiTheme="minorHAnsi" w:hAnsiTheme="minorHAnsi"/>
          <w:b/>
          <w:bCs/>
          <w:sz w:val="22"/>
          <w:szCs w:val="22"/>
        </w:rPr>
      </w:pPr>
    </w:p>
    <w:p w14:paraId="63FCE51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in-network:</w:t>
      </w:r>
    </w:p>
    <w:p w14:paraId="77ECAB8B" w14:textId="77777777" w:rsidR="00CD04D9" w:rsidRPr="008C4696" w:rsidRDefault="00CD04D9" w:rsidP="00CD04D9">
      <w:pPr>
        <w:pStyle w:val="BodyText"/>
        <w:spacing w:before="223" w:line="264" w:lineRule="auto"/>
        <w:rPr>
          <w:rFonts w:asciiTheme="minorHAnsi" w:hAnsiTheme="minorHAnsi"/>
          <w:b/>
          <w:bCs/>
          <w:sz w:val="22"/>
          <w:szCs w:val="22"/>
        </w:rPr>
      </w:pPr>
    </w:p>
    <w:p w14:paraId="4D7DE2B0"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716E690E"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33C1263D" w14:textId="77777777" w:rsidR="00CD04D9" w:rsidRPr="008C4696" w:rsidRDefault="00CD04D9" w:rsidP="00CD04D9">
      <w:pPr>
        <w:pStyle w:val="BodyText"/>
        <w:spacing w:before="223" w:line="264" w:lineRule="auto"/>
        <w:rPr>
          <w:rFonts w:asciiTheme="minorHAnsi" w:hAnsiTheme="minorHAnsi"/>
          <w:b/>
          <w:bCs/>
          <w:sz w:val="22"/>
          <w:szCs w:val="22"/>
        </w:rPr>
      </w:pPr>
    </w:p>
    <w:p w14:paraId="13E4B839"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487C0FD0" w14:textId="77777777" w:rsidR="00CD04D9" w:rsidRPr="008C4696" w:rsidRDefault="00CD04D9" w:rsidP="00CD04D9">
      <w:pPr>
        <w:pStyle w:val="BodyText"/>
        <w:spacing w:before="223" w:line="264" w:lineRule="auto"/>
        <w:rPr>
          <w:rFonts w:asciiTheme="minorHAnsi" w:hAnsiTheme="minorHAnsi"/>
          <w:b/>
          <w:bCs/>
          <w:sz w:val="22"/>
          <w:szCs w:val="22"/>
        </w:rPr>
      </w:pPr>
    </w:p>
    <w:p w14:paraId="5A7785BD"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out-of-network:</w:t>
      </w:r>
    </w:p>
    <w:p w14:paraId="36528212" w14:textId="77777777" w:rsidR="00CD04D9" w:rsidRPr="008C4696" w:rsidRDefault="00CD04D9" w:rsidP="00CD04D9">
      <w:pPr>
        <w:pStyle w:val="BodyText"/>
        <w:spacing w:before="223" w:line="264" w:lineRule="auto"/>
        <w:rPr>
          <w:rFonts w:asciiTheme="minorHAnsi" w:hAnsiTheme="minorHAnsi"/>
          <w:b/>
          <w:bCs/>
          <w:sz w:val="22"/>
          <w:szCs w:val="22"/>
        </w:rPr>
      </w:pPr>
    </w:p>
    <w:p w14:paraId="1654C149"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4C87D1B4"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1184CB79" w14:textId="77777777" w:rsidR="00CD04D9" w:rsidRPr="008C4696" w:rsidRDefault="00CD04D9" w:rsidP="00CD04D9">
      <w:pPr>
        <w:pStyle w:val="BodyText"/>
        <w:spacing w:before="223" w:line="264" w:lineRule="auto"/>
        <w:rPr>
          <w:rFonts w:asciiTheme="minorHAnsi" w:hAnsiTheme="minorHAnsi"/>
          <w:b/>
          <w:bCs/>
          <w:sz w:val="22"/>
          <w:szCs w:val="22"/>
        </w:rPr>
      </w:pPr>
    </w:p>
    <w:p w14:paraId="2E7E95B5"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494215CC" w14:textId="77777777" w:rsidR="00CD04D9" w:rsidRPr="008C4696" w:rsidRDefault="00CD04D9" w:rsidP="00CD04D9">
      <w:pPr>
        <w:pStyle w:val="BodyText"/>
        <w:spacing w:before="223" w:line="264" w:lineRule="auto"/>
        <w:rPr>
          <w:rFonts w:asciiTheme="minorHAnsi" w:hAnsiTheme="minorHAnsi"/>
          <w:b/>
          <w:bCs/>
          <w:sz w:val="22"/>
          <w:szCs w:val="22"/>
        </w:rPr>
      </w:pPr>
    </w:p>
    <w:p w14:paraId="074B132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Emergency:</w:t>
      </w:r>
    </w:p>
    <w:p w14:paraId="662B2D37" w14:textId="77777777" w:rsidR="00CD04D9" w:rsidRPr="008C4696" w:rsidRDefault="00CD04D9" w:rsidP="00CD04D9">
      <w:pPr>
        <w:pStyle w:val="BodyText"/>
        <w:spacing w:before="223" w:line="264" w:lineRule="auto"/>
        <w:rPr>
          <w:rFonts w:asciiTheme="minorHAnsi" w:hAnsiTheme="minorHAnsi"/>
          <w:b/>
          <w:bCs/>
          <w:sz w:val="22"/>
          <w:szCs w:val="22"/>
        </w:rPr>
      </w:pPr>
    </w:p>
    <w:p w14:paraId="21727398"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Prescription drug:</w:t>
      </w:r>
    </w:p>
    <w:p w14:paraId="1FF7B8DD" w14:textId="77777777" w:rsidR="0012342C" w:rsidRPr="008C4696" w:rsidRDefault="0012342C" w:rsidP="000C1D07">
      <w:pPr>
        <w:pStyle w:val="BodyText"/>
        <w:spacing w:line="264" w:lineRule="auto"/>
        <w:ind w:right="1163"/>
        <w:rPr>
          <w:rFonts w:asciiTheme="minorHAnsi" w:hAnsiTheme="minorHAnsi"/>
          <w:sz w:val="22"/>
          <w:szCs w:val="22"/>
        </w:rPr>
      </w:pPr>
    </w:p>
    <w:p w14:paraId="4F4F9B86" w14:textId="77777777" w:rsidR="005410B9" w:rsidRPr="008C4696" w:rsidRDefault="005410B9" w:rsidP="000C1D07">
      <w:pPr>
        <w:pStyle w:val="BodyText"/>
        <w:spacing w:before="2"/>
        <w:rPr>
          <w:rFonts w:asciiTheme="minorHAnsi" w:hAnsiTheme="minorHAnsi"/>
          <w:sz w:val="22"/>
          <w:szCs w:val="22"/>
        </w:rPr>
      </w:pPr>
    </w:p>
    <w:p w14:paraId="0C7A050A" w14:textId="45FEE99E" w:rsidR="005410B9" w:rsidRPr="008C4696" w:rsidRDefault="005410B9" w:rsidP="000C1D07">
      <w:pPr>
        <w:pStyle w:val="BodyText"/>
        <w:spacing w:line="264" w:lineRule="auto"/>
        <w:ind w:right="1056"/>
        <w:rPr>
          <w:rFonts w:asciiTheme="minorHAnsi" w:hAnsiTheme="minorHAnsi"/>
          <w:b/>
          <w:i/>
          <w:iCs/>
          <w:sz w:val="22"/>
          <w:szCs w:val="22"/>
        </w:rPr>
      </w:pPr>
      <w:r w:rsidRPr="008C4696">
        <w:rPr>
          <w:rFonts w:asciiTheme="minorHAnsi" w:hAnsiTheme="minorHAnsi"/>
          <w:b/>
          <w:sz w:val="22"/>
          <w:szCs w:val="22"/>
        </w:rPr>
        <w:t xml:space="preserve">Step 4: </w:t>
      </w:r>
      <w:r w:rsidR="002B10DE" w:rsidRPr="008C4696">
        <w:rPr>
          <w:rFonts w:asciiTheme="minorHAnsi" w:hAnsiTheme="minorHAnsi"/>
          <w:iCs/>
          <w:sz w:val="22"/>
          <w:szCs w:val="22"/>
        </w:rPr>
        <w:t xml:space="preserve">Provide the comparative analyses demonstrating that the processes, strategies, evidentiary standards, and other factors used to apply the NQTL to MH/SUD benefits, </w:t>
      </w:r>
      <w:r w:rsidR="002B10DE" w:rsidRPr="008C4696">
        <w:rPr>
          <w:rFonts w:asciiTheme="minorHAnsi" w:hAnsiTheme="minorHAnsi"/>
          <w:b/>
          <w:iCs/>
          <w:sz w:val="22"/>
          <w:szCs w:val="22"/>
        </w:rPr>
        <w:t>as written and in operation</w:t>
      </w:r>
      <w:r w:rsidR="002B10DE" w:rsidRPr="008C4696">
        <w:rPr>
          <w:rFonts w:asciiTheme="minorHAnsi" w:hAnsiTheme="minorHAnsi"/>
          <w:iCs/>
          <w:sz w:val="22"/>
          <w:szCs w:val="22"/>
        </w:rPr>
        <w:t>, are comparable to, and are applied no more stringently than, the processes, strategies, evidentiary standards, and other factors used to apply the NQTLs to medical or surgical benefits.</w:t>
      </w:r>
    </w:p>
    <w:p w14:paraId="6091FD36" w14:textId="77777777" w:rsidR="002B10DE" w:rsidRPr="008C4696" w:rsidRDefault="002B10DE" w:rsidP="000C1D07">
      <w:pPr>
        <w:pStyle w:val="BodyText"/>
        <w:spacing w:line="264" w:lineRule="auto"/>
        <w:ind w:right="1056"/>
        <w:rPr>
          <w:rFonts w:asciiTheme="minorHAnsi" w:hAnsiTheme="minorHAnsi"/>
          <w:sz w:val="22"/>
          <w:szCs w:val="22"/>
        </w:rPr>
      </w:pPr>
    </w:p>
    <w:p w14:paraId="3777339B" w14:textId="34C25E74" w:rsidR="002E1B1F" w:rsidRPr="008C4696" w:rsidRDefault="00F52781" w:rsidP="000C1D07">
      <w:pPr>
        <w:pStyle w:val="BodyText"/>
        <w:spacing w:line="264" w:lineRule="auto"/>
        <w:ind w:right="1056"/>
        <w:rPr>
          <w:rFonts w:asciiTheme="minorHAnsi" w:hAnsiTheme="minorHAnsi"/>
          <w:iCs/>
          <w:sz w:val="22"/>
          <w:szCs w:val="22"/>
        </w:rPr>
      </w:pPr>
      <w:r w:rsidRPr="008C4696">
        <w:rPr>
          <w:rFonts w:asciiTheme="minorHAnsi" w:hAnsiTheme="minorHAnsi"/>
          <w:b/>
          <w:iCs/>
          <w:sz w:val="22"/>
          <w:szCs w:val="22"/>
        </w:rPr>
        <w:t xml:space="preserve">FAQ 45 Guidance: </w:t>
      </w:r>
      <w:hyperlink r:id="rId14" w:history="1">
        <w:r w:rsidRPr="008C4696">
          <w:rPr>
            <w:rStyle w:val="Hyperlink"/>
            <w:rFonts w:asciiTheme="minorHAnsi" w:hAnsiTheme="minorHAnsi"/>
            <w:iCs/>
            <w:sz w:val="22"/>
            <w:szCs w:val="22"/>
          </w:rPr>
          <w:t>The FAQ 45</w:t>
        </w:r>
      </w:hyperlink>
      <w:r w:rsidRPr="008C4696">
        <w:rPr>
          <w:rFonts w:asciiTheme="minorHAnsi" w:hAnsiTheme="minorHAnsi"/>
          <w:iCs/>
          <w:sz w:val="22"/>
          <w:szCs w:val="22"/>
        </w:rPr>
        <w:t xml:space="preserve"> guidance states</w:t>
      </w:r>
      <w:r w:rsidR="00FA430F" w:rsidRPr="008C4696">
        <w:rPr>
          <w:rFonts w:asciiTheme="minorHAnsi" w:hAnsiTheme="minorHAnsi"/>
          <w:iCs/>
          <w:sz w:val="22"/>
          <w:szCs w:val="22"/>
        </w:rPr>
        <w:t xml:space="preserve"> that the following </w:t>
      </w:r>
      <w:r w:rsidR="004B3E15" w:rsidRPr="008C4696">
        <w:rPr>
          <w:rFonts w:asciiTheme="minorHAnsi" w:hAnsiTheme="minorHAnsi"/>
          <w:iCs/>
          <w:sz w:val="22"/>
          <w:szCs w:val="22"/>
        </w:rPr>
        <w:t xml:space="preserve">is </w:t>
      </w:r>
      <w:r w:rsidR="00664DF8" w:rsidRPr="008C4696">
        <w:rPr>
          <w:rFonts w:asciiTheme="minorHAnsi" w:hAnsiTheme="minorHAnsi"/>
          <w:iCs/>
          <w:sz w:val="22"/>
          <w:szCs w:val="22"/>
        </w:rPr>
        <w:t>appropriate</w:t>
      </w:r>
      <w:r w:rsidR="004B3E15" w:rsidRPr="008C4696">
        <w:rPr>
          <w:rFonts w:asciiTheme="minorHAnsi" w:hAnsiTheme="minorHAnsi"/>
          <w:iCs/>
          <w:sz w:val="22"/>
          <w:szCs w:val="22"/>
        </w:rPr>
        <w:t xml:space="preserve"> for a sufficient response: </w:t>
      </w:r>
    </w:p>
    <w:p w14:paraId="6D77C60F" w14:textId="77777777" w:rsidR="002E1B1F" w:rsidRPr="008C4696" w:rsidRDefault="002E1B1F" w:rsidP="000C1D07">
      <w:pPr>
        <w:pStyle w:val="BodyText"/>
        <w:spacing w:line="264" w:lineRule="auto"/>
        <w:ind w:right="1056"/>
        <w:rPr>
          <w:rFonts w:asciiTheme="minorHAnsi" w:hAnsiTheme="minorHAnsi"/>
          <w:iCs/>
          <w:sz w:val="22"/>
          <w:szCs w:val="22"/>
        </w:rPr>
      </w:pPr>
    </w:p>
    <w:p w14:paraId="26F6215D" w14:textId="77777777" w:rsidR="002E1B1F" w:rsidRPr="008C4696" w:rsidRDefault="004B3E15"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(Q2, #5) The analyses, as documented, should explain whether there is any variation in the application of a guideline or standard used by the plan or issuer between MH/SUD and medical/surgical benefits and, if so, describe the process and factors used for establishing that variation.</w:t>
      </w:r>
      <w:r w:rsidR="00F82B75" w:rsidRPr="008C4696">
        <w:rPr>
          <w:rFonts w:asciiTheme="minorHAnsi" w:hAnsiTheme="minorHAnsi"/>
          <w:iCs/>
          <w:sz w:val="22"/>
          <w:szCs w:val="22"/>
        </w:rPr>
        <w:t xml:space="preserve"> </w:t>
      </w:r>
    </w:p>
    <w:p w14:paraId="5A52B9CC" w14:textId="77777777" w:rsidR="002E1B1F" w:rsidRPr="008C4696" w:rsidRDefault="002E1B1F" w:rsidP="000C1D07">
      <w:pPr>
        <w:pStyle w:val="BodyText"/>
        <w:spacing w:line="264" w:lineRule="auto"/>
        <w:ind w:right="1056"/>
        <w:rPr>
          <w:rFonts w:asciiTheme="minorHAnsi" w:hAnsiTheme="minorHAnsi"/>
          <w:iCs/>
          <w:sz w:val="22"/>
          <w:szCs w:val="22"/>
        </w:rPr>
      </w:pPr>
    </w:p>
    <w:p w14:paraId="32AEA080" w14:textId="77777777" w:rsidR="002E1B1F" w:rsidRPr="008C4696" w:rsidRDefault="00F82B75"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(Q 2, # 6) If the application of the NQTL turns on specific decisions in administration of the benefits, the plan or issuer should identify the nature of the decisions, the decision maker(s), the timing of the decisions, and the qualifications of the decision maker(s).</w:t>
      </w:r>
      <w:r w:rsidR="00F2268C" w:rsidRPr="008C4696">
        <w:rPr>
          <w:rFonts w:asciiTheme="minorHAnsi" w:hAnsiTheme="minorHAnsi"/>
          <w:iCs/>
          <w:sz w:val="22"/>
          <w:szCs w:val="22"/>
        </w:rPr>
        <w:t xml:space="preserve"> </w:t>
      </w:r>
    </w:p>
    <w:p w14:paraId="4C6AD753" w14:textId="77777777" w:rsidR="002E1B1F" w:rsidRPr="008C4696" w:rsidRDefault="002E1B1F" w:rsidP="000C1D07">
      <w:pPr>
        <w:pStyle w:val="BodyText"/>
        <w:spacing w:line="264" w:lineRule="auto"/>
        <w:ind w:right="1056"/>
        <w:rPr>
          <w:rFonts w:asciiTheme="minorHAnsi" w:hAnsiTheme="minorHAnsi"/>
          <w:iCs/>
          <w:sz w:val="22"/>
          <w:szCs w:val="22"/>
        </w:rPr>
      </w:pPr>
    </w:p>
    <w:p w14:paraId="3359749C" w14:textId="70501CB9" w:rsidR="00F2268C" w:rsidRPr="008C4696" w:rsidRDefault="00F2268C"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 Q2, #7) If the plan’s or issuer’s analyses rely upon any experts, the analyses, as documented, should include an assessment of each expert’s qualifications and the extent to which the plan or issuer ultimately relied upon each expert’s evaluations in setting recommendations regarding both MH/SUD and medical/surgical benefits</w:t>
      </w:r>
      <w:r w:rsidRPr="008C4696">
        <w:rPr>
          <w:rFonts w:asciiTheme="minorHAnsi" w:hAnsiTheme="minorHAnsi"/>
          <w:sz w:val="22"/>
          <w:szCs w:val="22"/>
        </w:rPr>
        <w:t>.</w:t>
      </w:r>
      <w:r w:rsidR="00F52781" w:rsidRPr="008C4696">
        <w:rPr>
          <w:rFonts w:asciiTheme="minorHAnsi" w:hAnsiTheme="minorHAnsi"/>
          <w:iCs/>
          <w:sz w:val="22"/>
          <w:szCs w:val="22"/>
        </w:rPr>
        <w:t xml:space="preserve"> </w:t>
      </w:r>
    </w:p>
    <w:p w14:paraId="3C13E3CF" w14:textId="77777777" w:rsidR="00F2268C" w:rsidRPr="008C4696" w:rsidRDefault="00F2268C" w:rsidP="000C1D07">
      <w:pPr>
        <w:pStyle w:val="BodyText"/>
        <w:spacing w:line="264" w:lineRule="auto"/>
        <w:ind w:right="1056"/>
        <w:rPr>
          <w:rFonts w:asciiTheme="minorHAnsi" w:hAnsiTheme="minorHAnsi"/>
          <w:iCs/>
          <w:sz w:val="22"/>
          <w:szCs w:val="22"/>
        </w:rPr>
      </w:pPr>
    </w:p>
    <w:p w14:paraId="39D35735" w14:textId="77777777" w:rsidR="002E1B1F" w:rsidRPr="008C4696" w:rsidRDefault="00F2268C"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 xml:space="preserve">The FAQ 45 guidance states that the following constitutes an insufficient response: </w:t>
      </w:r>
    </w:p>
    <w:p w14:paraId="5B44426C" w14:textId="77777777" w:rsidR="002E1B1F" w:rsidRPr="008C4696" w:rsidRDefault="002E1B1F" w:rsidP="000C1D07">
      <w:pPr>
        <w:pStyle w:val="BodyText"/>
        <w:spacing w:line="264" w:lineRule="auto"/>
        <w:ind w:right="1056"/>
        <w:rPr>
          <w:rFonts w:asciiTheme="minorHAnsi" w:hAnsiTheme="minorHAnsi"/>
          <w:iCs/>
          <w:sz w:val="22"/>
          <w:szCs w:val="22"/>
        </w:rPr>
      </w:pPr>
    </w:p>
    <w:p w14:paraId="64B4FF53" w14:textId="77777777" w:rsidR="002E1B1F" w:rsidRPr="008C4696" w:rsidRDefault="00F2268C"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 xml:space="preserve">(Q 3, # 1) Production of a large volume of documents without a clear explanation of how and why each document is relevant to the comparative analysis. </w:t>
      </w:r>
    </w:p>
    <w:p w14:paraId="2BA54F43" w14:textId="77777777" w:rsidR="002E1B1F" w:rsidRPr="008C4696" w:rsidRDefault="002E1B1F" w:rsidP="000C1D07">
      <w:pPr>
        <w:pStyle w:val="BodyText"/>
        <w:spacing w:line="264" w:lineRule="auto"/>
        <w:ind w:right="1056"/>
        <w:rPr>
          <w:rFonts w:asciiTheme="minorHAnsi" w:hAnsiTheme="minorHAnsi"/>
          <w:iCs/>
          <w:sz w:val="22"/>
          <w:szCs w:val="22"/>
        </w:rPr>
      </w:pPr>
    </w:p>
    <w:p w14:paraId="7FDE78D4" w14:textId="77777777" w:rsidR="002E1B1F" w:rsidRPr="008C4696" w:rsidRDefault="00F2268C"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 xml:space="preserve">(Q3, # 2) Conclusory or generalized statements, including mere recitations of the legal standard, without specific supporting evidence and detailed explanations. </w:t>
      </w:r>
    </w:p>
    <w:p w14:paraId="4D22B059" w14:textId="77777777" w:rsidR="002E1B1F" w:rsidRPr="008C4696" w:rsidRDefault="002E1B1F" w:rsidP="000C1D07">
      <w:pPr>
        <w:pStyle w:val="BodyText"/>
        <w:spacing w:line="264" w:lineRule="auto"/>
        <w:ind w:right="1056"/>
        <w:rPr>
          <w:rFonts w:asciiTheme="minorHAnsi" w:hAnsiTheme="minorHAnsi"/>
          <w:iCs/>
          <w:sz w:val="22"/>
          <w:szCs w:val="22"/>
        </w:rPr>
      </w:pPr>
    </w:p>
    <w:p w14:paraId="46D41D40" w14:textId="77777777" w:rsidR="002E1B1F" w:rsidRPr="008C4696" w:rsidRDefault="00F2268C" w:rsidP="000C1D07">
      <w:pPr>
        <w:pStyle w:val="BodyText"/>
        <w:spacing w:line="264" w:lineRule="auto"/>
        <w:ind w:right="1056"/>
        <w:rPr>
          <w:rFonts w:asciiTheme="minorHAnsi" w:hAnsiTheme="minorHAnsi"/>
          <w:iCs/>
          <w:sz w:val="22"/>
          <w:szCs w:val="22"/>
        </w:rPr>
      </w:pPr>
      <w:r w:rsidRPr="008C4696">
        <w:rPr>
          <w:rFonts w:asciiTheme="minorHAnsi" w:hAnsiTheme="minorHAnsi"/>
          <w:iCs/>
          <w:sz w:val="22"/>
          <w:szCs w:val="22"/>
        </w:rPr>
        <w:t xml:space="preserve">(Q 3, # 3) Identification of processes, strategies, sources, and factors without the required or clear and detailed comparative analysis. </w:t>
      </w:r>
    </w:p>
    <w:p w14:paraId="1E3C29B0" w14:textId="77777777" w:rsidR="002E1B1F" w:rsidRPr="008C4696" w:rsidRDefault="002E1B1F" w:rsidP="000C1D07">
      <w:pPr>
        <w:pStyle w:val="BodyText"/>
        <w:spacing w:line="264" w:lineRule="auto"/>
        <w:ind w:right="1056"/>
        <w:rPr>
          <w:rFonts w:asciiTheme="minorHAnsi" w:hAnsiTheme="minorHAnsi"/>
          <w:iCs/>
          <w:sz w:val="22"/>
          <w:szCs w:val="22"/>
        </w:rPr>
      </w:pPr>
    </w:p>
    <w:p w14:paraId="402008E7" w14:textId="5272EEB3" w:rsidR="005410B9" w:rsidRPr="008C4696" w:rsidRDefault="00F52781" w:rsidP="000C1D07">
      <w:pPr>
        <w:pStyle w:val="BodyText"/>
        <w:spacing w:line="264" w:lineRule="auto"/>
        <w:ind w:right="1056"/>
        <w:rPr>
          <w:rFonts w:asciiTheme="minorHAnsi" w:hAnsiTheme="minorHAnsi"/>
          <w:sz w:val="22"/>
          <w:szCs w:val="22"/>
        </w:rPr>
      </w:pPr>
      <w:r w:rsidRPr="008C4696">
        <w:rPr>
          <w:rFonts w:asciiTheme="minorHAnsi" w:hAnsiTheme="minorHAnsi"/>
          <w:iCs/>
          <w:sz w:val="22"/>
          <w:szCs w:val="22"/>
        </w:rPr>
        <w:t>(Q 3, # 4) Identification of factors, evidentiary standards, and strategies without a clear explanation of how they were defined and applied in practice.</w:t>
      </w:r>
    </w:p>
    <w:p w14:paraId="28026F92" w14:textId="77777777" w:rsidR="005410B9" w:rsidRPr="008C4696" w:rsidRDefault="005410B9" w:rsidP="000C1D07">
      <w:pPr>
        <w:pStyle w:val="BodyText"/>
        <w:spacing w:before="4"/>
        <w:rPr>
          <w:rFonts w:asciiTheme="minorHAnsi" w:hAnsiTheme="minorHAnsi"/>
          <w:sz w:val="22"/>
          <w:szCs w:val="22"/>
        </w:rPr>
      </w:pPr>
    </w:p>
    <w:p w14:paraId="005024D0" w14:textId="1DA0FB22" w:rsidR="0012342C" w:rsidRPr="008C4696" w:rsidRDefault="0012342C" w:rsidP="000C1D07">
      <w:pPr>
        <w:pStyle w:val="BodyText"/>
        <w:spacing w:line="264" w:lineRule="auto"/>
        <w:ind w:right="1056"/>
        <w:rPr>
          <w:rFonts w:asciiTheme="minorHAnsi" w:hAnsiTheme="minorHAnsi"/>
          <w:sz w:val="22"/>
          <w:szCs w:val="22"/>
        </w:rPr>
      </w:pPr>
    </w:p>
    <w:p w14:paraId="15AA34E2" w14:textId="03A8FB59" w:rsidR="00CD04D9" w:rsidRPr="008C4696" w:rsidRDefault="00CD04D9" w:rsidP="00CD04D9">
      <w:pPr>
        <w:pStyle w:val="BodyText"/>
        <w:spacing w:before="223" w:line="264" w:lineRule="auto"/>
        <w:rPr>
          <w:rFonts w:asciiTheme="minorHAnsi" w:hAnsiTheme="minorHAnsi"/>
          <w:i/>
          <w:iCs/>
          <w:sz w:val="22"/>
          <w:szCs w:val="22"/>
        </w:rPr>
      </w:pPr>
      <w:r w:rsidRPr="008C4696">
        <w:rPr>
          <w:rFonts w:asciiTheme="minorHAnsi" w:hAnsiTheme="minorHAnsi"/>
          <w:i/>
          <w:iCs/>
          <w:sz w:val="22"/>
          <w:szCs w:val="22"/>
        </w:rPr>
        <w:t>Simply insert “same as ____” whenever an entry is identical to another entry</w:t>
      </w:r>
    </w:p>
    <w:p w14:paraId="3DBB7F52"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in-network:</w:t>
      </w:r>
    </w:p>
    <w:p w14:paraId="32126B1C" w14:textId="328D9107" w:rsidR="00F52781" w:rsidRPr="008C4696" w:rsidRDefault="00F52781"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As written:</w:t>
      </w:r>
    </w:p>
    <w:p w14:paraId="07A3D0CA" w14:textId="77777777" w:rsidR="00F52781" w:rsidRPr="008C4696" w:rsidRDefault="00F52781" w:rsidP="00CD04D9">
      <w:pPr>
        <w:pStyle w:val="BodyText"/>
        <w:spacing w:before="223" w:line="264" w:lineRule="auto"/>
        <w:rPr>
          <w:rFonts w:asciiTheme="minorHAnsi" w:hAnsiTheme="minorHAnsi"/>
          <w:b/>
          <w:bCs/>
          <w:sz w:val="22"/>
          <w:szCs w:val="22"/>
        </w:rPr>
      </w:pPr>
    </w:p>
    <w:p w14:paraId="7C01837E" w14:textId="611E83B0" w:rsidR="00F52781" w:rsidRPr="008C4696" w:rsidRDefault="00F52781"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5D102FA0" w14:textId="77777777" w:rsidR="00CD04D9" w:rsidRPr="008C4696" w:rsidRDefault="00CD04D9" w:rsidP="00CD04D9">
      <w:pPr>
        <w:pStyle w:val="BodyText"/>
        <w:spacing w:before="223" w:line="264" w:lineRule="auto"/>
        <w:rPr>
          <w:rFonts w:asciiTheme="minorHAnsi" w:hAnsiTheme="minorHAnsi"/>
          <w:sz w:val="22"/>
          <w:szCs w:val="22"/>
        </w:rPr>
      </w:pPr>
    </w:p>
    <w:p w14:paraId="50FFE7DD"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out-of-network:</w:t>
      </w:r>
    </w:p>
    <w:p w14:paraId="4D5DD4A2" w14:textId="2D7BEA7B" w:rsidR="009159B5" w:rsidRPr="008C4696" w:rsidRDefault="009159B5"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As written:</w:t>
      </w:r>
    </w:p>
    <w:p w14:paraId="23B33819" w14:textId="77777777" w:rsidR="009159B5" w:rsidRPr="008C4696" w:rsidRDefault="009159B5" w:rsidP="00CD04D9">
      <w:pPr>
        <w:pStyle w:val="BodyText"/>
        <w:spacing w:before="223" w:line="264" w:lineRule="auto"/>
        <w:rPr>
          <w:rFonts w:asciiTheme="minorHAnsi" w:hAnsiTheme="minorHAnsi"/>
          <w:b/>
          <w:bCs/>
          <w:sz w:val="22"/>
          <w:szCs w:val="22"/>
        </w:rPr>
      </w:pPr>
    </w:p>
    <w:p w14:paraId="05DF2A88" w14:textId="5D6F5F92" w:rsidR="009159B5" w:rsidRPr="008C4696" w:rsidRDefault="009159B5"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046EE1DB" w14:textId="77777777" w:rsidR="00CD04D9" w:rsidRPr="008C4696" w:rsidRDefault="00CD04D9" w:rsidP="00CD04D9">
      <w:pPr>
        <w:pStyle w:val="BodyText"/>
        <w:spacing w:before="223" w:line="264" w:lineRule="auto"/>
        <w:rPr>
          <w:rFonts w:asciiTheme="minorHAnsi" w:hAnsiTheme="minorHAnsi"/>
          <w:b/>
          <w:bCs/>
          <w:sz w:val="22"/>
          <w:szCs w:val="22"/>
        </w:rPr>
      </w:pPr>
    </w:p>
    <w:p w14:paraId="2CDB367F"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in-network:</w:t>
      </w:r>
    </w:p>
    <w:p w14:paraId="5820E0D1" w14:textId="21EF970C" w:rsidR="00143250" w:rsidRPr="008C4696" w:rsidRDefault="0014325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As written:</w:t>
      </w:r>
    </w:p>
    <w:p w14:paraId="005D9A28" w14:textId="77777777" w:rsidR="00143250" w:rsidRPr="008C4696" w:rsidRDefault="00143250" w:rsidP="00CD04D9">
      <w:pPr>
        <w:pStyle w:val="BodyText"/>
        <w:spacing w:before="223" w:line="264" w:lineRule="auto"/>
        <w:rPr>
          <w:rFonts w:asciiTheme="minorHAnsi" w:hAnsiTheme="minorHAnsi"/>
          <w:b/>
          <w:bCs/>
          <w:sz w:val="22"/>
          <w:szCs w:val="22"/>
        </w:rPr>
      </w:pPr>
    </w:p>
    <w:p w14:paraId="7F8268C5" w14:textId="48FA4BBF" w:rsidR="00143250" w:rsidRPr="008C4696" w:rsidRDefault="0014325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70C678DB" w14:textId="77777777" w:rsidR="00CD04D9" w:rsidRPr="008C4696" w:rsidRDefault="00CD04D9" w:rsidP="00CD04D9">
      <w:pPr>
        <w:pStyle w:val="BodyText"/>
        <w:spacing w:before="223" w:line="264" w:lineRule="auto"/>
        <w:rPr>
          <w:rFonts w:asciiTheme="minorHAnsi" w:hAnsiTheme="minorHAnsi"/>
          <w:b/>
          <w:bCs/>
          <w:sz w:val="22"/>
          <w:szCs w:val="22"/>
        </w:rPr>
      </w:pPr>
    </w:p>
    <w:p w14:paraId="091757C8"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5F8F4EA0"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5F2FAD60" w14:textId="05FC6707" w:rsidR="00143250" w:rsidRPr="008C4696" w:rsidRDefault="0014325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As written:</w:t>
      </w:r>
    </w:p>
    <w:p w14:paraId="431B363C" w14:textId="5FE0982C" w:rsidR="00143250" w:rsidRPr="008C4696" w:rsidRDefault="0014325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r>
    </w:p>
    <w:p w14:paraId="3F09391B" w14:textId="463AC83F" w:rsidR="00143250" w:rsidRPr="008C4696" w:rsidRDefault="0014325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In operation:</w:t>
      </w:r>
    </w:p>
    <w:p w14:paraId="17C82818" w14:textId="77777777" w:rsidR="00CD04D9" w:rsidRPr="008C4696" w:rsidRDefault="00CD04D9" w:rsidP="00CD04D9">
      <w:pPr>
        <w:pStyle w:val="BodyText"/>
        <w:spacing w:before="223" w:line="264" w:lineRule="auto"/>
        <w:rPr>
          <w:rFonts w:asciiTheme="minorHAnsi" w:hAnsiTheme="minorHAnsi"/>
          <w:b/>
          <w:bCs/>
          <w:sz w:val="22"/>
          <w:szCs w:val="22"/>
        </w:rPr>
      </w:pPr>
    </w:p>
    <w:p w14:paraId="74B6DDA2"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7C4F91E8" w14:textId="19511CCB" w:rsidR="00244A20" w:rsidRPr="008C4696" w:rsidRDefault="00244A2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As written:</w:t>
      </w:r>
    </w:p>
    <w:p w14:paraId="139D6C51" w14:textId="77777777" w:rsidR="00244A20" w:rsidRPr="008C4696" w:rsidRDefault="00244A20" w:rsidP="00CD04D9">
      <w:pPr>
        <w:pStyle w:val="BodyText"/>
        <w:spacing w:before="223" w:line="264" w:lineRule="auto"/>
        <w:rPr>
          <w:rFonts w:asciiTheme="minorHAnsi" w:hAnsiTheme="minorHAnsi"/>
          <w:b/>
          <w:bCs/>
          <w:sz w:val="22"/>
          <w:szCs w:val="22"/>
        </w:rPr>
      </w:pPr>
    </w:p>
    <w:p w14:paraId="57CA6885" w14:textId="0B1888D1" w:rsidR="00244A20" w:rsidRPr="008C4696" w:rsidRDefault="00244A20"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In operation:</w:t>
      </w:r>
    </w:p>
    <w:p w14:paraId="2661838B" w14:textId="77777777" w:rsidR="00CD04D9" w:rsidRPr="008C4696" w:rsidRDefault="00CD04D9" w:rsidP="00CD04D9">
      <w:pPr>
        <w:pStyle w:val="BodyText"/>
        <w:spacing w:before="223" w:line="264" w:lineRule="auto"/>
        <w:rPr>
          <w:rFonts w:asciiTheme="minorHAnsi" w:hAnsiTheme="minorHAnsi"/>
          <w:b/>
          <w:bCs/>
          <w:sz w:val="22"/>
          <w:szCs w:val="22"/>
        </w:rPr>
      </w:pPr>
    </w:p>
    <w:p w14:paraId="0600305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out-of-network:</w:t>
      </w:r>
    </w:p>
    <w:p w14:paraId="19012D35" w14:textId="1770263A"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As written:</w:t>
      </w:r>
    </w:p>
    <w:p w14:paraId="5D300D03" w14:textId="77777777" w:rsidR="000860CE" w:rsidRPr="008C4696" w:rsidRDefault="000860CE" w:rsidP="00CD04D9">
      <w:pPr>
        <w:pStyle w:val="BodyText"/>
        <w:spacing w:before="223" w:line="264" w:lineRule="auto"/>
        <w:rPr>
          <w:rFonts w:asciiTheme="minorHAnsi" w:hAnsiTheme="minorHAnsi"/>
          <w:b/>
          <w:bCs/>
          <w:sz w:val="22"/>
          <w:szCs w:val="22"/>
        </w:rPr>
      </w:pPr>
    </w:p>
    <w:p w14:paraId="44773565" w14:textId="2C48319E"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504BEA20" w14:textId="77777777" w:rsidR="00CD04D9" w:rsidRPr="008C4696" w:rsidRDefault="00CD04D9" w:rsidP="00CD04D9">
      <w:pPr>
        <w:pStyle w:val="BodyText"/>
        <w:spacing w:before="223" w:line="264" w:lineRule="auto"/>
        <w:rPr>
          <w:rFonts w:asciiTheme="minorHAnsi" w:hAnsiTheme="minorHAnsi"/>
          <w:b/>
          <w:bCs/>
          <w:sz w:val="22"/>
          <w:szCs w:val="22"/>
        </w:rPr>
      </w:pPr>
    </w:p>
    <w:p w14:paraId="0B61AA04"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3CC40D8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68A450A4" w14:textId="2E5ADF05"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As written:</w:t>
      </w:r>
    </w:p>
    <w:p w14:paraId="02B6800B" w14:textId="77777777" w:rsidR="000860CE" w:rsidRPr="008C4696" w:rsidRDefault="000860CE" w:rsidP="00CD04D9">
      <w:pPr>
        <w:pStyle w:val="BodyText"/>
        <w:spacing w:before="223" w:line="264" w:lineRule="auto"/>
        <w:rPr>
          <w:rFonts w:asciiTheme="minorHAnsi" w:hAnsiTheme="minorHAnsi"/>
          <w:b/>
          <w:bCs/>
          <w:sz w:val="22"/>
          <w:szCs w:val="22"/>
        </w:rPr>
      </w:pPr>
    </w:p>
    <w:p w14:paraId="6F2A7F0F" w14:textId="4C5954CA"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In operation:</w:t>
      </w:r>
    </w:p>
    <w:p w14:paraId="4846F497" w14:textId="77777777" w:rsidR="00CD04D9" w:rsidRPr="008C4696" w:rsidRDefault="00CD04D9" w:rsidP="00CD04D9">
      <w:pPr>
        <w:pStyle w:val="BodyText"/>
        <w:spacing w:before="223" w:line="264" w:lineRule="auto"/>
        <w:rPr>
          <w:rFonts w:asciiTheme="minorHAnsi" w:hAnsiTheme="minorHAnsi"/>
          <w:b/>
          <w:bCs/>
          <w:sz w:val="22"/>
          <w:szCs w:val="22"/>
        </w:rPr>
      </w:pPr>
    </w:p>
    <w:p w14:paraId="65221FD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729486F6" w14:textId="78BC0740"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As written:</w:t>
      </w:r>
    </w:p>
    <w:p w14:paraId="470A7F22" w14:textId="77777777" w:rsidR="000860CE" w:rsidRPr="008C4696" w:rsidRDefault="000860CE" w:rsidP="00CD04D9">
      <w:pPr>
        <w:pStyle w:val="BodyText"/>
        <w:spacing w:before="223" w:line="264" w:lineRule="auto"/>
        <w:rPr>
          <w:rFonts w:asciiTheme="minorHAnsi" w:hAnsiTheme="minorHAnsi"/>
          <w:b/>
          <w:bCs/>
          <w:sz w:val="22"/>
          <w:szCs w:val="22"/>
        </w:rPr>
      </w:pPr>
    </w:p>
    <w:p w14:paraId="606F2287" w14:textId="228C6DAF"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r>
      <w:r w:rsidRPr="008C4696">
        <w:rPr>
          <w:rFonts w:asciiTheme="minorHAnsi" w:hAnsiTheme="minorHAnsi"/>
          <w:b/>
          <w:bCs/>
          <w:sz w:val="22"/>
          <w:szCs w:val="22"/>
        </w:rPr>
        <w:tab/>
        <w:t>In operation:</w:t>
      </w:r>
    </w:p>
    <w:p w14:paraId="692B8265" w14:textId="77777777" w:rsidR="00CD04D9" w:rsidRPr="008C4696" w:rsidRDefault="00CD04D9" w:rsidP="00CD04D9">
      <w:pPr>
        <w:pStyle w:val="BodyText"/>
        <w:spacing w:before="223" w:line="264" w:lineRule="auto"/>
        <w:rPr>
          <w:rFonts w:asciiTheme="minorHAnsi" w:hAnsiTheme="minorHAnsi"/>
          <w:b/>
          <w:bCs/>
          <w:sz w:val="22"/>
          <w:szCs w:val="22"/>
        </w:rPr>
      </w:pPr>
    </w:p>
    <w:p w14:paraId="453644FE"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Emergency:</w:t>
      </w:r>
    </w:p>
    <w:p w14:paraId="0058A7D9" w14:textId="010CF2C7"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 xml:space="preserve">As written: </w:t>
      </w:r>
    </w:p>
    <w:p w14:paraId="642BD811" w14:textId="77777777" w:rsidR="000860CE" w:rsidRPr="008C4696" w:rsidRDefault="000860CE" w:rsidP="00CD04D9">
      <w:pPr>
        <w:pStyle w:val="BodyText"/>
        <w:spacing w:before="223" w:line="264" w:lineRule="auto"/>
        <w:rPr>
          <w:rFonts w:asciiTheme="minorHAnsi" w:hAnsiTheme="minorHAnsi"/>
          <w:b/>
          <w:bCs/>
          <w:sz w:val="22"/>
          <w:szCs w:val="22"/>
        </w:rPr>
      </w:pPr>
    </w:p>
    <w:p w14:paraId="68CA5BB0" w14:textId="362C4CE6" w:rsidR="000860CE" w:rsidRPr="008C4696" w:rsidRDefault="000860CE"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4E01981E" w14:textId="77777777" w:rsidR="00CD04D9" w:rsidRPr="008C4696" w:rsidRDefault="00CD04D9" w:rsidP="00CD04D9">
      <w:pPr>
        <w:pStyle w:val="BodyText"/>
        <w:spacing w:before="223" w:line="264" w:lineRule="auto"/>
        <w:rPr>
          <w:rFonts w:asciiTheme="minorHAnsi" w:hAnsiTheme="minorHAnsi"/>
          <w:b/>
          <w:bCs/>
          <w:sz w:val="22"/>
          <w:szCs w:val="22"/>
        </w:rPr>
      </w:pPr>
    </w:p>
    <w:p w14:paraId="2E359A8E"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Prescription drug:</w:t>
      </w:r>
    </w:p>
    <w:p w14:paraId="0C2890A0" w14:textId="5692F706" w:rsidR="0064354D" w:rsidRPr="008C4696" w:rsidRDefault="0064354D"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 xml:space="preserve">As written: </w:t>
      </w:r>
    </w:p>
    <w:p w14:paraId="0B40F8BC" w14:textId="77777777" w:rsidR="0064354D" w:rsidRPr="008C4696" w:rsidRDefault="0064354D" w:rsidP="00CD04D9">
      <w:pPr>
        <w:pStyle w:val="BodyText"/>
        <w:spacing w:before="223" w:line="264" w:lineRule="auto"/>
        <w:rPr>
          <w:rFonts w:asciiTheme="minorHAnsi" w:hAnsiTheme="minorHAnsi"/>
          <w:b/>
          <w:bCs/>
          <w:sz w:val="22"/>
          <w:szCs w:val="22"/>
        </w:rPr>
      </w:pPr>
    </w:p>
    <w:p w14:paraId="5F1B79E5" w14:textId="3C20226E" w:rsidR="0064354D" w:rsidRPr="008C4696" w:rsidRDefault="0064354D"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In operation:</w:t>
      </w:r>
    </w:p>
    <w:p w14:paraId="43CF0A57" w14:textId="77777777" w:rsidR="0012342C" w:rsidRPr="008C4696" w:rsidRDefault="0012342C" w:rsidP="000C1D07">
      <w:pPr>
        <w:pStyle w:val="BodyText"/>
        <w:spacing w:line="264" w:lineRule="auto"/>
        <w:ind w:right="1056"/>
        <w:rPr>
          <w:rFonts w:asciiTheme="minorHAnsi" w:hAnsiTheme="minorHAnsi"/>
          <w:sz w:val="22"/>
          <w:szCs w:val="22"/>
        </w:rPr>
      </w:pPr>
    </w:p>
    <w:p w14:paraId="6AF7710F" w14:textId="77777777" w:rsidR="005410B9" w:rsidRPr="008C4696" w:rsidRDefault="005410B9" w:rsidP="005410B9">
      <w:pPr>
        <w:pStyle w:val="BodyText"/>
        <w:spacing w:before="8"/>
        <w:rPr>
          <w:rFonts w:asciiTheme="minorHAnsi" w:hAnsiTheme="minorHAnsi"/>
          <w:sz w:val="22"/>
          <w:szCs w:val="22"/>
        </w:rPr>
      </w:pPr>
    </w:p>
    <w:p w14:paraId="33E3A4E8" w14:textId="3B3AC4E6" w:rsidR="005410B9" w:rsidRPr="008C4696" w:rsidRDefault="005410B9" w:rsidP="000C1D07">
      <w:pPr>
        <w:pStyle w:val="BodyText"/>
        <w:spacing w:before="168" w:line="264" w:lineRule="auto"/>
        <w:ind w:right="1220"/>
        <w:rPr>
          <w:rFonts w:asciiTheme="minorHAnsi" w:hAnsiTheme="minorHAnsi"/>
          <w:b/>
          <w:sz w:val="22"/>
          <w:szCs w:val="22"/>
        </w:rPr>
      </w:pPr>
      <w:r w:rsidRPr="008C4696">
        <w:rPr>
          <w:rFonts w:asciiTheme="minorHAnsi" w:hAnsiTheme="minorHAnsi"/>
          <w:b/>
          <w:sz w:val="22"/>
          <w:szCs w:val="22"/>
        </w:rPr>
        <w:t xml:space="preserve">Step 5: </w:t>
      </w:r>
      <w:r w:rsidR="008C78D6" w:rsidRPr="008C4696">
        <w:rPr>
          <w:rFonts w:asciiTheme="minorHAnsi" w:hAnsiTheme="minorHAnsi"/>
          <w:iCs/>
          <w:sz w:val="22"/>
          <w:szCs w:val="22"/>
        </w:rPr>
        <w:t>The specific findings and conclusions reached by the Plan</w:t>
      </w:r>
      <w:r w:rsidR="006C63A2" w:rsidRPr="008C4696">
        <w:rPr>
          <w:rFonts w:asciiTheme="minorHAnsi" w:hAnsiTheme="minorHAnsi"/>
          <w:iCs/>
          <w:sz w:val="22"/>
          <w:szCs w:val="22"/>
        </w:rPr>
        <w:t xml:space="preserve"> or issuer</w:t>
      </w:r>
      <w:r w:rsidR="008C78D6" w:rsidRPr="008C4696">
        <w:rPr>
          <w:rFonts w:asciiTheme="minorHAnsi" w:hAnsiTheme="minorHAnsi"/>
          <w:iCs/>
          <w:sz w:val="22"/>
          <w:szCs w:val="22"/>
        </w:rPr>
        <w:t xml:space="preserve"> with respect to the health insurance coverage, including any results of the analyses described in the previous steps that indicate that the Plan</w:t>
      </w:r>
      <w:r w:rsidR="00B34B02" w:rsidRPr="008C4696">
        <w:rPr>
          <w:rFonts w:asciiTheme="minorHAnsi" w:hAnsiTheme="minorHAnsi"/>
          <w:iCs/>
          <w:sz w:val="22"/>
          <w:szCs w:val="22"/>
        </w:rPr>
        <w:t xml:space="preserve"> or</w:t>
      </w:r>
      <w:r w:rsidR="008C78D6" w:rsidRPr="008C4696">
        <w:rPr>
          <w:rFonts w:asciiTheme="minorHAnsi" w:hAnsiTheme="minorHAnsi"/>
          <w:iCs/>
          <w:sz w:val="22"/>
          <w:szCs w:val="22"/>
        </w:rPr>
        <w:t xml:space="preserve"> </w:t>
      </w:r>
      <w:r w:rsidR="00B34B02" w:rsidRPr="008C4696">
        <w:rPr>
          <w:rFonts w:asciiTheme="minorHAnsi" w:hAnsiTheme="minorHAnsi"/>
          <w:iCs/>
          <w:sz w:val="22"/>
          <w:szCs w:val="22"/>
        </w:rPr>
        <w:t xml:space="preserve">issuer </w:t>
      </w:r>
      <w:r w:rsidR="008C78D6" w:rsidRPr="008C4696">
        <w:rPr>
          <w:rFonts w:asciiTheme="minorHAnsi" w:hAnsiTheme="minorHAnsi"/>
          <w:iCs/>
          <w:sz w:val="22"/>
          <w:szCs w:val="22"/>
        </w:rPr>
        <w:t>is or is not in compliance with the MHPAEA NQTL requirements.</w:t>
      </w:r>
    </w:p>
    <w:p w14:paraId="51E10D03" w14:textId="77777777" w:rsidR="00B1775F" w:rsidRPr="008C4696" w:rsidRDefault="008454CE" w:rsidP="000C1D07">
      <w:pPr>
        <w:pStyle w:val="BodyText"/>
        <w:spacing w:before="168" w:line="264" w:lineRule="auto"/>
        <w:ind w:right="1220"/>
        <w:rPr>
          <w:rFonts w:asciiTheme="minorHAnsi" w:hAnsiTheme="minorHAnsi"/>
          <w:iCs/>
          <w:sz w:val="22"/>
          <w:szCs w:val="22"/>
        </w:rPr>
      </w:pPr>
      <w:r w:rsidRPr="008C4696">
        <w:rPr>
          <w:rFonts w:asciiTheme="minorHAnsi" w:hAnsiTheme="minorHAnsi"/>
          <w:b/>
          <w:iCs/>
          <w:sz w:val="22"/>
          <w:szCs w:val="22"/>
        </w:rPr>
        <w:t xml:space="preserve">FAQ 45 Guidance: </w:t>
      </w:r>
      <w:hyperlink r:id="rId15" w:history="1">
        <w:r w:rsidRPr="008C4696">
          <w:rPr>
            <w:rStyle w:val="Hyperlink"/>
            <w:rFonts w:asciiTheme="minorHAnsi" w:hAnsiTheme="minorHAnsi"/>
            <w:iCs/>
            <w:sz w:val="22"/>
            <w:szCs w:val="22"/>
          </w:rPr>
          <w:t>The FAQ 45</w:t>
        </w:r>
      </w:hyperlink>
      <w:r w:rsidRPr="008C4696">
        <w:rPr>
          <w:rFonts w:asciiTheme="minorHAnsi" w:hAnsiTheme="minorHAnsi"/>
          <w:iCs/>
          <w:sz w:val="22"/>
          <w:szCs w:val="22"/>
        </w:rPr>
        <w:t xml:space="preserve"> guidance states</w:t>
      </w:r>
      <w:r w:rsidR="00B5100C" w:rsidRPr="008C4696">
        <w:rPr>
          <w:rFonts w:asciiTheme="minorHAnsi" w:hAnsiTheme="minorHAnsi"/>
          <w:iCs/>
          <w:sz w:val="22"/>
          <w:szCs w:val="22"/>
        </w:rPr>
        <w:t xml:space="preserve"> that a sufficient response should include</w:t>
      </w:r>
      <w:r w:rsidRPr="008C4696">
        <w:rPr>
          <w:rFonts w:asciiTheme="minorHAnsi" w:hAnsiTheme="minorHAnsi"/>
          <w:iCs/>
          <w:sz w:val="22"/>
          <w:szCs w:val="22"/>
        </w:rPr>
        <w:t xml:space="preserve">: </w:t>
      </w:r>
    </w:p>
    <w:p w14:paraId="2C24F6F4" w14:textId="41BD1E0E" w:rsidR="00B5100C" w:rsidRPr="008C4696" w:rsidRDefault="008454CE" w:rsidP="000C1D07">
      <w:pPr>
        <w:pStyle w:val="BodyText"/>
        <w:spacing w:before="168" w:line="264" w:lineRule="auto"/>
        <w:ind w:right="1220"/>
        <w:rPr>
          <w:rFonts w:asciiTheme="minorHAnsi" w:hAnsiTheme="minorHAnsi"/>
          <w:iCs/>
          <w:sz w:val="22"/>
          <w:szCs w:val="22"/>
        </w:rPr>
      </w:pPr>
      <w:r w:rsidRPr="008C4696">
        <w:rPr>
          <w:rFonts w:asciiTheme="minorHAnsi" w:hAnsiTheme="minorHAnsi"/>
          <w:iCs/>
          <w:sz w:val="22"/>
          <w:szCs w:val="22"/>
        </w:rPr>
        <w:t xml:space="preserve">(Q 2, # 8) A reasoned discussion of the plan’s or issuer’s findings and conclusions as to the comparability of the processes, strategies, evidentiary standards, factors, and sources identified above within each affected classification, and their relative stringency, both as applied and as written. This discussion should include citations to any specific evidence considered and any results of analyses indicating that the plan or coverage is or is not in compliance with MHPAEA. </w:t>
      </w:r>
    </w:p>
    <w:p w14:paraId="0F36E37E" w14:textId="77777777" w:rsidR="00B1775F" w:rsidRPr="008C4696" w:rsidRDefault="00B5100C" w:rsidP="000C1D07">
      <w:pPr>
        <w:pStyle w:val="BodyText"/>
        <w:spacing w:before="168" w:line="264" w:lineRule="auto"/>
        <w:ind w:right="1220"/>
        <w:rPr>
          <w:rFonts w:asciiTheme="minorHAnsi" w:hAnsiTheme="minorHAnsi"/>
          <w:iCs/>
          <w:sz w:val="22"/>
          <w:szCs w:val="22"/>
        </w:rPr>
      </w:pPr>
      <w:r w:rsidRPr="008C4696">
        <w:rPr>
          <w:rFonts w:asciiTheme="minorHAnsi" w:hAnsiTheme="minorHAnsi"/>
          <w:iCs/>
          <w:sz w:val="22"/>
          <w:szCs w:val="22"/>
        </w:rPr>
        <w:t xml:space="preserve">The FAQ 45 guidance states that the following constitutes an insufficient response: </w:t>
      </w:r>
    </w:p>
    <w:p w14:paraId="3F3A1B58" w14:textId="47C21B89" w:rsidR="005410B9" w:rsidRPr="008C4696" w:rsidRDefault="008454CE" w:rsidP="000C1D07">
      <w:pPr>
        <w:pStyle w:val="BodyText"/>
        <w:spacing w:before="168" w:line="264" w:lineRule="auto"/>
        <w:ind w:right="1220"/>
        <w:rPr>
          <w:rFonts w:asciiTheme="minorHAnsi" w:hAnsiTheme="minorHAnsi"/>
          <w:sz w:val="22"/>
          <w:szCs w:val="22"/>
        </w:rPr>
      </w:pPr>
      <w:r w:rsidRPr="008C4696">
        <w:rPr>
          <w:rFonts w:asciiTheme="minorHAnsi" w:hAnsiTheme="minorHAnsi"/>
          <w:iCs/>
          <w:sz w:val="22"/>
          <w:szCs w:val="22"/>
        </w:rPr>
        <w:t>(Q 3, # 2) Conclusory or generalized statements, including mere recitations of the legal standard, without specific supporting evidence and detailed explanations</w:t>
      </w:r>
      <w:r w:rsidR="005410B9" w:rsidRPr="008C4696">
        <w:rPr>
          <w:rFonts w:asciiTheme="minorHAnsi" w:hAnsiTheme="minorHAnsi"/>
          <w:sz w:val="22"/>
          <w:szCs w:val="22"/>
        </w:rPr>
        <w:t>.</w:t>
      </w:r>
    </w:p>
    <w:p w14:paraId="3337C840" w14:textId="77777777" w:rsidR="005410B9" w:rsidRPr="008C4696" w:rsidRDefault="005410B9" w:rsidP="000C1D07">
      <w:pPr>
        <w:pStyle w:val="BodyText"/>
        <w:spacing w:before="3"/>
        <w:rPr>
          <w:rFonts w:asciiTheme="minorHAnsi" w:hAnsiTheme="minorHAnsi"/>
          <w:sz w:val="22"/>
          <w:szCs w:val="22"/>
        </w:rPr>
      </w:pPr>
    </w:p>
    <w:p w14:paraId="7E983A1D" w14:textId="30FA590E" w:rsidR="00683AFD" w:rsidRPr="008C4696" w:rsidRDefault="00683AFD" w:rsidP="002B309F">
      <w:pPr>
        <w:pStyle w:val="BodyText"/>
        <w:spacing w:line="264" w:lineRule="auto"/>
        <w:ind w:right="1220"/>
        <w:rPr>
          <w:rFonts w:asciiTheme="minorHAnsi" w:hAnsiTheme="minorHAnsi"/>
          <w:sz w:val="22"/>
          <w:szCs w:val="22"/>
        </w:rPr>
      </w:pPr>
    </w:p>
    <w:p w14:paraId="22375F9D" w14:textId="28D06DA9" w:rsidR="00CD04D9" w:rsidRPr="008C4696" w:rsidRDefault="00CD04D9" w:rsidP="00CD04D9">
      <w:pPr>
        <w:pStyle w:val="BodyText"/>
        <w:spacing w:before="223" w:line="264" w:lineRule="auto"/>
        <w:rPr>
          <w:rFonts w:asciiTheme="minorHAnsi" w:hAnsiTheme="minorHAnsi"/>
          <w:i/>
          <w:iCs/>
          <w:sz w:val="22"/>
          <w:szCs w:val="22"/>
        </w:rPr>
      </w:pPr>
      <w:r w:rsidRPr="008C4696">
        <w:rPr>
          <w:rFonts w:asciiTheme="minorHAnsi" w:hAnsiTheme="minorHAnsi"/>
          <w:i/>
          <w:iCs/>
          <w:sz w:val="22"/>
          <w:szCs w:val="22"/>
        </w:rPr>
        <w:t>Simply insert “same as ____” whenever an entry is identical to another entry</w:t>
      </w:r>
    </w:p>
    <w:p w14:paraId="28A752D7" w14:textId="77777777" w:rsidR="008454CE" w:rsidRPr="008C4696" w:rsidRDefault="008454CE" w:rsidP="00CD04D9">
      <w:pPr>
        <w:pStyle w:val="BodyText"/>
        <w:spacing w:before="223" w:line="264" w:lineRule="auto"/>
        <w:rPr>
          <w:rFonts w:asciiTheme="minorHAnsi" w:hAnsiTheme="minorHAnsi"/>
          <w:i/>
          <w:iCs/>
          <w:sz w:val="22"/>
          <w:szCs w:val="22"/>
        </w:rPr>
      </w:pPr>
    </w:p>
    <w:p w14:paraId="415BD3B1"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in-network:</w:t>
      </w:r>
    </w:p>
    <w:p w14:paraId="7AD4F5FA" w14:textId="77777777" w:rsidR="00CD04D9" w:rsidRPr="008C4696" w:rsidRDefault="00CD04D9" w:rsidP="00CD04D9">
      <w:pPr>
        <w:pStyle w:val="BodyText"/>
        <w:spacing w:before="223" w:line="264" w:lineRule="auto"/>
        <w:rPr>
          <w:rFonts w:asciiTheme="minorHAnsi" w:hAnsiTheme="minorHAnsi"/>
          <w:sz w:val="22"/>
          <w:szCs w:val="22"/>
        </w:rPr>
      </w:pPr>
    </w:p>
    <w:p w14:paraId="56ED7F5D"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Inpatient, out-of-network:</w:t>
      </w:r>
    </w:p>
    <w:p w14:paraId="703C0340" w14:textId="77777777" w:rsidR="00CD04D9" w:rsidRPr="008C4696" w:rsidRDefault="00CD04D9" w:rsidP="00CD04D9">
      <w:pPr>
        <w:pStyle w:val="BodyText"/>
        <w:spacing w:before="223" w:line="264" w:lineRule="auto"/>
        <w:rPr>
          <w:rFonts w:asciiTheme="minorHAnsi" w:hAnsiTheme="minorHAnsi"/>
          <w:b/>
          <w:bCs/>
          <w:sz w:val="22"/>
          <w:szCs w:val="22"/>
        </w:rPr>
      </w:pPr>
    </w:p>
    <w:p w14:paraId="4955A0BD"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in-network:</w:t>
      </w:r>
    </w:p>
    <w:p w14:paraId="7504617A" w14:textId="77777777" w:rsidR="00CD04D9" w:rsidRPr="008C4696" w:rsidRDefault="00CD04D9" w:rsidP="00CD04D9">
      <w:pPr>
        <w:pStyle w:val="BodyText"/>
        <w:spacing w:before="223" w:line="264" w:lineRule="auto"/>
        <w:rPr>
          <w:rFonts w:asciiTheme="minorHAnsi" w:hAnsiTheme="minorHAnsi"/>
          <w:b/>
          <w:bCs/>
          <w:sz w:val="22"/>
          <w:szCs w:val="22"/>
        </w:rPr>
      </w:pPr>
    </w:p>
    <w:p w14:paraId="441C77F6"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1332EEEA"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2404329E" w14:textId="77777777" w:rsidR="00CD04D9" w:rsidRPr="008C4696" w:rsidRDefault="00CD04D9" w:rsidP="00CD04D9">
      <w:pPr>
        <w:pStyle w:val="BodyText"/>
        <w:spacing w:before="223" w:line="264" w:lineRule="auto"/>
        <w:rPr>
          <w:rFonts w:asciiTheme="minorHAnsi" w:hAnsiTheme="minorHAnsi"/>
          <w:b/>
          <w:bCs/>
          <w:sz w:val="22"/>
          <w:szCs w:val="22"/>
        </w:rPr>
      </w:pPr>
    </w:p>
    <w:p w14:paraId="5016A64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0FF695B8" w14:textId="77777777" w:rsidR="00CD04D9" w:rsidRPr="008C4696" w:rsidRDefault="00CD04D9" w:rsidP="00CD04D9">
      <w:pPr>
        <w:pStyle w:val="BodyText"/>
        <w:spacing w:before="223" w:line="264" w:lineRule="auto"/>
        <w:rPr>
          <w:rFonts w:asciiTheme="minorHAnsi" w:hAnsiTheme="minorHAnsi"/>
          <w:b/>
          <w:bCs/>
          <w:sz w:val="22"/>
          <w:szCs w:val="22"/>
        </w:rPr>
      </w:pPr>
    </w:p>
    <w:p w14:paraId="01DA5ABC"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Outpatient, out-of-network:</w:t>
      </w:r>
    </w:p>
    <w:p w14:paraId="30D79C30" w14:textId="77777777" w:rsidR="00CD04D9" w:rsidRPr="008C4696" w:rsidRDefault="00CD04D9" w:rsidP="00CD04D9">
      <w:pPr>
        <w:pStyle w:val="BodyText"/>
        <w:spacing w:before="223" w:line="264" w:lineRule="auto"/>
        <w:rPr>
          <w:rFonts w:asciiTheme="minorHAnsi" w:hAnsiTheme="minorHAnsi"/>
          <w:b/>
          <w:bCs/>
          <w:sz w:val="22"/>
          <w:szCs w:val="22"/>
        </w:rPr>
      </w:pPr>
    </w:p>
    <w:p w14:paraId="5A8FB8A0" w14:textId="77777777" w:rsidR="00CD04D9" w:rsidRPr="008C4696" w:rsidRDefault="00CD04D9" w:rsidP="00CD04D9">
      <w:pPr>
        <w:pStyle w:val="BodyText"/>
        <w:spacing w:before="223" w:line="264" w:lineRule="auto"/>
        <w:rPr>
          <w:rFonts w:asciiTheme="minorHAnsi" w:hAnsiTheme="minorHAnsi"/>
          <w:b/>
          <w:bCs/>
          <w:i/>
          <w:sz w:val="22"/>
          <w:szCs w:val="22"/>
        </w:rPr>
      </w:pPr>
      <w:r w:rsidRPr="008C4696">
        <w:rPr>
          <w:rFonts w:asciiTheme="minorHAnsi" w:hAnsiTheme="minorHAnsi"/>
          <w:b/>
          <w:bCs/>
          <w:sz w:val="22"/>
          <w:szCs w:val="22"/>
        </w:rPr>
        <w:tab/>
      </w:r>
      <w:r w:rsidRPr="008C4696">
        <w:rPr>
          <w:rFonts w:asciiTheme="minorHAnsi" w:hAnsiTheme="minorHAnsi"/>
          <w:b/>
          <w:bCs/>
          <w:i/>
          <w:sz w:val="22"/>
          <w:szCs w:val="22"/>
        </w:rPr>
        <w:t>If subclassifications are used</w:t>
      </w:r>
    </w:p>
    <w:p w14:paraId="56AAC524"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Office visit:</w:t>
      </w:r>
    </w:p>
    <w:p w14:paraId="7059C8F2" w14:textId="77777777" w:rsidR="00CD04D9" w:rsidRPr="008C4696" w:rsidRDefault="00CD04D9" w:rsidP="00CD04D9">
      <w:pPr>
        <w:pStyle w:val="BodyText"/>
        <w:spacing w:before="223" w:line="264" w:lineRule="auto"/>
        <w:rPr>
          <w:rFonts w:asciiTheme="minorHAnsi" w:hAnsiTheme="minorHAnsi"/>
          <w:b/>
          <w:bCs/>
          <w:sz w:val="22"/>
          <w:szCs w:val="22"/>
        </w:rPr>
      </w:pPr>
    </w:p>
    <w:p w14:paraId="3F7EE812"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ab/>
        <w:t>Outpatient other:</w:t>
      </w:r>
    </w:p>
    <w:p w14:paraId="0299D3A2" w14:textId="77777777" w:rsidR="00CD04D9" w:rsidRPr="008C4696" w:rsidRDefault="00CD04D9" w:rsidP="00CD04D9">
      <w:pPr>
        <w:pStyle w:val="BodyText"/>
        <w:spacing w:before="223" w:line="264" w:lineRule="auto"/>
        <w:rPr>
          <w:rFonts w:asciiTheme="minorHAnsi" w:hAnsiTheme="minorHAnsi"/>
          <w:b/>
          <w:bCs/>
          <w:sz w:val="22"/>
          <w:szCs w:val="22"/>
        </w:rPr>
      </w:pPr>
    </w:p>
    <w:p w14:paraId="6258A034"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Emergency:</w:t>
      </w:r>
    </w:p>
    <w:p w14:paraId="7D06C720" w14:textId="77777777" w:rsidR="00CD04D9" w:rsidRPr="008C4696" w:rsidRDefault="00CD04D9" w:rsidP="00CD04D9">
      <w:pPr>
        <w:pStyle w:val="BodyText"/>
        <w:spacing w:before="223" w:line="264" w:lineRule="auto"/>
        <w:rPr>
          <w:rFonts w:asciiTheme="minorHAnsi" w:hAnsiTheme="minorHAnsi"/>
          <w:b/>
          <w:bCs/>
          <w:sz w:val="22"/>
          <w:szCs w:val="22"/>
        </w:rPr>
      </w:pPr>
    </w:p>
    <w:p w14:paraId="08121E79" w14:textId="77777777" w:rsidR="00CD04D9" w:rsidRPr="008C4696" w:rsidRDefault="00CD04D9" w:rsidP="00CD04D9">
      <w:pPr>
        <w:pStyle w:val="BodyText"/>
        <w:spacing w:before="223" w:line="264" w:lineRule="auto"/>
        <w:rPr>
          <w:rFonts w:asciiTheme="minorHAnsi" w:hAnsiTheme="minorHAnsi"/>
          <w:b/>
          <w:bCs/>
          <w:sz w:val="22"/>
          <w:szCs w:val="22"/>
        </w:rPr>
      </w:pPr>
      <w:r w:rsidRPr="008C4696">
        <w:rPr>
          <w:rFonts w:asciiTheme="minorHAnsi" w:hAnsiTheme="minorHAnsi"/>
          <w:b/>
          <w:bCs/>
          <w:sz w:val="22"/>
          <w:szCs w:val="22"/>
        </w:rPr>
        <w:t>Prescription drug:</w:t>
      </w:r>
    </w:p>
    <w:p w14:paraId="0F3744EE" w14:textId="77777777" w:rsidR="00683AFD" w:rsidRPr="008C4696" w:rsidRDefault="00683AFD" w:rsidP="002B309F">
      <w:pPr>
        <w:pStyle w:val="BodyText"/>
        <w:spacing w:line="264" w:lineRule="auto"/>
        <w:ind w:right="1220"/>
        <w:rPr>
          <w:rFonts w:asciiTheme="minorHAnsi" w:hAnsiTheme="minorHAnsi"/>
          <w:sz w:val="22"/>
          <w:szCs w:val="22"/>
        </w:rPr>
      </w:pPr>
    </w:p>
    <w:p w14:paraId="3AE92782" w14:textId="3AD6B155" w:rsidR="00683AFD" w:rsidRPr="008C4696" w:rsidRDefault="00683AFD" w:rsidP="00CD04D9">
      <w:pPr>
        <w:pStyle w:val="BodyText"/>
        <w:spacing w:before="223" w:line="264" w:lineRule="auto"/>
        <w:rPr>
          <w:rFonts w:asciiTheme="minorHAnsi" w:hAnsiTheme="minorHAnsi"/>
          <w:b/>
          <w:bCs/>
          <w:sz w:val="22"/>
          <w:szCs w:val="22"/>
        </w:rPr>
      </w:pPr>
    </w:p>
    <w:sectPr w:rsidR="00683AFD" w:rsidRPr="008C4696" w:rsidSect="008C4696">
      <w:head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46C6" w14:textId="77777777" w:rsidR="002A6AA3" w:rsidRDefault="002A6AA3" w:rsidP="00C62CC4">
      <w:r>
        <w:separator/>
      </w:r>
    </w:p>
  </w:endnote>
  <w:endnote w:type="continuationSeparator" w:id="0">
    <w:p w14:paraId="180D3BAC" w14:textId="77777777" w:rsidR="002A6AA3" w:rsidRDefault="002A6AA3" w:rsidP="00C6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20B06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661799"/>
      <w:docPartObj>
        <w:docPartGallery w:val="Page Numbers (Bottom of Page)"/>
        <w:docPartUnique/>
      </w:docPartObj>
    </w:sdtPr>
    <w:sdtEndPr>
      <w:rPr>
        <w:rFonts w:asciiTheme="minorHAnsi" w:hAnsiTheme="minorHAnsi"/>
        <w:noProof/>
      </w:rPr>
    </w:sdtEndPr>
    <w:sdtContent>
      <w:p w14:paraId="3DB9F716" w14:textId="62532CA0" w:rsidR="008C4696" w:rsidRPr="008C4696" w:rsidRDefault="008C4696">
        <w:pPr>
          <w:pStyle w:val="Footer"/>
          <w:jc w:val="right"/>
          <w:rPr>
            <w:rFonts w:asciiTheme="minorHAnsi" w:hAnsiTheme="minorHAnsi"/>
          </w:rPr>
        </w:pPr>
        <w:r w:rsidRPr="008C4696">
          <w:rPr>
            <w:rFonts w:asciiTheme="minorHAnsi" w:hAnsiTheme="minorHAnsi"/>
          </w:rPr>
          <w:fldChar w:fldCharType="begin"/>
        </w:r>
        <w:r w:rsidRPr="008C4696">
          <w:rPr>
            <w:rFonts w:asciiTheme="minorHAnsi" w:hAnsiTheme="minorHAnsi"/>
          </w:rPr>
          <w:instrText xml:space="preserve"> PAGE   \* MERGEFORMAT </w:instrText>
        </w:r>
        <w:r w:rsidRPr="008C4696">
          <w:rPr>
            <w:rFonts w:asciiTheme="minorHAnsi" w:hAnsiTheme="minorHAnsi"/>
          </w:rPr>
          <w:fldChar w:fldCharType="separate"/>
        </w:r>
        <w:r w:rsidRPr="008C4696">
          <w:rPr>
            <w:rFonts w:asciiTheme="minorHAnsi" w:hAnsiTheme="minorHAnsi"/>
            <w:noProof/>
          </w:rPr>
          <w:t>2</w:t>
        </w:r>
        <w:r w:rsidRPr="008C4696">
          <w:rPr>
            <w:rFonts w:asciiTheme="minorHAnsi" w:hAnsiTheme="minorHAnsi"/>
            <w:noProof/>
          </w:rPr>
          <w:fldChar w:fldCharType="end"/>
        </w:r>
      </w:p>
    </w:sdtContent>
  </w:sdt>
  <w:p w14:paraId="2A333AC7" w14:textId="77777777" w:rsidR="008C4696" w:rsidRDefault="008C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9DA6" w14:textId="77777777" w:rsidR="002A6AA3" w:rsidRDefault="002A6AA3" w:rsidP="00C62CC4">
      <w:r>
        <w:separator/>
      </w:r>
    </w:p>
  </w:footnote>
  <w:footnote w:type="continuationSeparator" w:id="0">
    <w:p w14:paraId="0CA911EB" w14:textId="77777777" w:rsidR="002A6AA3" w:rsidRDefault="002A6AA3" w:rsidP="00C6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8BCB" w14:textId="364D65A5" w:rsidR="008C4696" w:rsidRDefault="008C4696" w:rsidP="008C4696">
    <w:pPr>
      <w:pStyle w:val="Header"/>
      <w:rPr>
        <w:rFonts w:asciiTheme="minorHAnsi" w:hAnsiTheme="minorHAnsi"/>
      </w:rPr>
    </w:pPr>
    <w:r>
      <w:rPr>
        <w:rFonts w:asciiTheme="minorHAnsi" w:hAnsiTheme="minorHAnsi"/>
      </w:rPr>
      <w:t>Oregon Division of Financial Regulation</w:t>
    </w:r>
  </w:p>
  <w:p w14:paraId="053881A9" w14:textId="6B2C1AFF" w:rsidR="008C4696" w:rsidRPr="008C4696" w:rsidRDefault="00D336D4" w:rsidP="008C4696">
    <w:pPr>
      <w:pStyle w:val="Header"/>
      <w:rPr>
        <w:rFonts w:asciiTheme="minorHAnsi" w:hAnsiTheme="minorHAnsi"/>
      </w:rPr>
    </w:pPr>
    <w:r>
      <w:rPr>
        <w:rFonts w:asciiTheme="minorHAnsi" w:hAnsiTheme="minorHAnsi"/>
      </w:rPr>
      <w:t>ORS 743A.168</w:t>
    </w:r>
    <w:r w:rsidR="008C4696" w:rsidRPr="008C4696">
      <w:rPr>
        <w:rFonts w:asciiTheme="minorHAnsi" w:hAnsiTheme="minorHAnsi"/>
      </w:rPr>
      <w:t>: NQTL Reporting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5C4" w14:textId="05E15EC3" w:rsidR="008C4696" w:rsidRDefault="008C4696" w:rsidP="008C4696">
    <w:pPr>
      <w:pStyle w:val="Header"/>
      <w:jc w:val="center"/>
    </w:pPr>
    <w:r>
      <w:rPr>
        <w:noProof/>
      </w:rPr>
      <w:drawing>
        <wp:inline distT="0" distB="0" distL="0" distR="0" wp14:anchorId="31FD17B6" wp14:editId="558375C9">
          <wp:extent cx="1133475" cy="7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229" cy="7240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810"/>
    <w:multiLevelType w:val="hybridMultilevel"/>
    <w:tmpl w:val="762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3CA"/>
    <w:multiLevelType w:val="hybridMultilevel"/>
    <w:tmpl w:val="4D90FEAA"/>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 w15:restartNumberingAfterBreak="0">
    <w:nsid w:val="106A693D"/>
    <w:multiLevelType w:val="hybridMultilevel"/>
    <w:tmpl w:val="10061A42"/>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3" w15:restartNumberingAfterBreak="0">
    <w:nsid w:val="264C7D94"/>
    <w:multiLevelType w:val="hybridMultilevel"/>
    <w:tmpl w:val="EB746408"/>
    <w:lvl w:ilvl="0" w:tplc="04090001">
      <w:start w:val="1"/>
      <w:numFmt w:val="bullet"/>
      <w:lvlText w:val=""/>
      <w:lvlJc w:val="left"/>
      <w:pPr>
        <w:ind w:left="1887" w:hanging="360"/>
      </w:pPr>
      <w:rPr>
        <w:rFonts w:ascii="Symbol" w:hAnsi="Symbol" w:hint="default"/>
      </w:rPr>
    </w:lvl>
    <w:lvl w:ilvl="1" w:tplc="04090003" w:tentative="1">
      <w:start w:val="1"/>
      <w:numFmt w:val="bullet"/>
      <w:lvlText w:val="o"/>
      <w:lvlJc w:val="left"/>
      <w:pPr>
        <w:ind w:left="2607" w:hanging="360"/>
      </w:pPr>
      <w:rPr>
        <w:rFonts w:ascii="Courier New" w:hAnsi="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4" w15:restartNumberingAfterBreak="0">
    <w:nsid w:val="334A5AA3"/>
    <w:multiLevelType w:val="hybridMultilevel"/>
    <w:tmpl w:val="B2C0E52E"/>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5" w15:restartNumberingAfterBreak="0">
    <w:nsid w:val="3FD2190F"/>
    <w:multiLevelType w:val="hybridMultilevel"/>
    <w:tmpl w:val="14AA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33064"/>
    <w:multiLevelType w:val="hybridMultilevel"/>
    <w:tmpl w:val="627A4990"/>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7" w15:restartNumberingAfterBreak="0">
    <w:nsid w:val="5B616523"/>
    <w:multiLevelType w:val="hybridMultilevel"/>
    <w:tmpl w:val="93D6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208C1"/>
    <w:multiLevelType w:val="hybridMultilevel"/>
    <w:tmpl w:val="1A52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D70CA"/>
    <w:multiLevelType w:val="hybridMultilevel"/>
    <w:tmpl w:val="8AD80130"/>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num w:numId="1" w16cid:durableId="1862157619">
    <w:abstractNumId w:val="1"/>
  </w:num>
  <w:num w:numId="2" w16cid:durableId="221523060">
    <w:abstractNumId w:val="4"/>
  </w:num>
  <w:num w:numId="3" w16cid:durableId="127666444">
    <w:abstractNumId w:val="6"/>
  </w:num>
  <w:num w:numId="4" w16cid:durableId="1366515169">
    <w:abstractNumId w:val="9"/>
  </w:num>
  <w:num w:numId="5" w16cid:durableId="467549803">
    <w:abstractNumId w:val="5"/>
  </w:num>
  <w:num w:numId="6" w16cid:durableId="1755466172">
    <w:abstractNumId w:val="2"/>
  </w:num>
  <w:num w:numId="7" w16cid:durableId="1586837119">
    <w:abstractNumId w:val="8"/>
  </w:num>
  <w:num w:numId="8" w16cid:durableId="2139452825">
    <w:abstractNumId w:val="3"/>
  </w:num>
  <w:num w:numId="9" w16cid:durableId="1225138611">
    <w:abstractNumId w:val="0"/>
  </w:num>
  <w:num w:numId="10" w16cid:durableId="1301572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B9"/>
    <w:rsid w:val="0001610A"/>
    <w:rsid w:val="00026C22"/>
    <w:rsid w:val="00071C0B"/>
    <w:rsid w:val="000860CE"/>
    <w:rsid w:val="000C1D07"/>
    <w:rsid w:val="000C55E8"/>
    <w:rsid w:val="000D11A3"/>
    <w:rsid w:val="0010487B"/>
    <w:rsid w:val="0012342C"/>
    <w:rsid w:val="00143250"/>
    <w:rsid w:val="00152217"/>
    <w:rsid w:val="001938DC"/>
    <w:rsid w:val="001E152F"/>
    <w:rsid w:val="001E3AD2"/>
    <w:rsid w:val="00202113"/>
    <w:rsid w:val="00206557"/>
    <w:rsid w:val="00244A20"/>
    <w:rsid w:val="0026389E"/>
    <w:rsid w:val="00286FD6"/>
    <w:rsid w:val="002A6AA3"/>
    <w:rsid w:val="002B10DE"/>
    <w:rsid w:val="002B309F"/>
    <w:rsid w:val="002E1B1F"/>
    <w:rsid w:val="0033506B"/>
    <w:rsid w:val="003A6F0C"/>
    <w:rsid w:val="003D167A"/>
    <w:rsid w:val="003D40C6"/>
    <w:rsid w:val="003E72F8"/>
    <w:rsid w:val="00463FA4"/>
    <w:rsid w:val="004B3E15"/>
    <w:rsid w:val="004F4630"/>
    <w:rsid w:val="00503760"/>
    <w:rsid w:val="005410B9"/>
    <w:rsid w:val="00573563"/>
    <w:rsid w:val="00575DC0"/>
    <w:rsid w:val="00582BE4"/>
    <w:rsid w:val="00603227"/>
    <w:rsid w:val="00610222"/>
    <w:rsid w:val="0064354D"/>
    <w:rsid w:val="00664DF8"/>
    <w:rsid w:val="00683AFD"/>
    <w:rsid w:val="00684C40"/>
    <w:rsid w:val="006C63A2"/>
    <w:rsid w:val="006F2514"/>
    <w:rsid w:val="006F4D94"/>
    <w:rsid w:val="006F64ED"/>
    <w:rsid w:val="00772B03"/>
    <w:rsid w:val="007B53DD"/>
    <w:rsid w:val="007C790C"/>
    <w:rsid w:val="007D2B2D"/>
    <w:rsid w:val="007F0A84"/>
    <w:rsid w:val="007F709E"/>
    <w:rsid w:val="00820BA4"/>
    <w:rsid w:val="008454CE"/>
    <w:rsid w:val="00876878"/>
    <w:rsid w:val="008C4696"/>
    <w:rsid w:val="008C78D6"/>
    <w:rsid w:val="008F46F7"/>
    <w:rsid w:val="00905609"/>
    <w:rsid w:val="009159B5"/>
    <w:rsid w:val="00922879"/>
    <w:rsid w:val="009365FD"/>
    <w:rsid w:val="00A176AF"/>
    <w:rsid w:val="00A35535"/>
    <w:rsid w:val="00A63901"/>
    <w:rsid w:val="00AD7614"/>
    <w:rsid w:val="00B1775F"/>
    <w:rsid w:val="00B34B02"/>
    <w:rsid w:val="00B35B43"/>
    <w:rsid w:val="00B5100C"/>
    <w:rsid w:val="00B63C43"/>
    <w:rsid w:val="00BA1A32"/>
    <w:rsid w:val="00BA7FB4"/>
    <w:rsid w:val="00BB4F58"/>
    <w:rsid w:val="00BC3BA8"/>
    <w:rsid w:val="00C3268A"/>
    <w:rsid w:val="00C45D31"/>
    <w:rsid w:val="00C56B33"/>
    <w:rsid w:val="00C62CC4"/>
    <w:rsid w:val="00C85001"/>
    <w:rsid w:val="00C86C64"/>
    <w:rsid w:val="00CA6EDB"/>
    <w:rsid w:val="00CA7545"/>
    <w:rsid w:val="00CC4C94"/>
    <w:rsid w:val="00CD04D9"/>
    <w:rsid w:val="00CD2549"/>
    <w:rsid w:val="00D336D4"/>
    <w:rsid w:val="00D67DDA"/>
    <w:rsid w:val="00DC0007"/>
    <w:rsid w:val="00E639B6"/>
    <w:rsid w:val="00E87082"/>
    <w:rsid w:val="00E928B1"/>
    <w:rsid w:val="00EB7687"/>
    <w:rsid w:val="00EC08EB"/>
    <w:rsid w:val="00F01953"/>
    <w:rsid w:val="00F2268C"/>
    <w:rsid w:val="00F52781"/>
    <w:rsid w:val="00F82B75"/>
    <w:rsid w:val="00F90121"/>
    <w:rsid w:val="00FA430F"/>
    <w:rsid w:val="00FD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54F45"/>
  <w14:defaultImageDpi w14:val="300"/>
  <w15:docId w15:val="{AFBA4A66-9BA6-4C4B-8291-D39C456A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10B9"/>
    <w:pPr>
      <w:widowControl w:val="0"/>
      <w:autoSpaceDE w:val="0"/>
      <w:autoSpaceDN w:val="0"/>
    </w:pPr>
    <w:rPr>
      <w:rFonts w:ascii="Myriad Pro Light" w:eastAsia="Myriad Pro Light" w:hAnsi="Myriad Pro Light" w:cs="Myriad Pro Light"/>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10B9"/>
    <w:rPr>
      <w:sz w:val="23"/>
      <w:szCs w:val="23"/>
    </w:rPr>
  </w:style>
  <w:style w:type="character" w:customStyle="1" w:styleId="BodyTextChar">
    <w:name w:val="Body Text Char"/>
    <w:basedOn w:val="DefaultParagraphFont"/>
    <w:link w:val="BodyText"/>
    <w:uiPriority w:val="1"/>
    <w:rsid w:val="005410B9"/>
    <w:rPr>
      <w:rFonts w:ascii="Myriad Pro Light" w:eastAsia="Myriad Pro Light" w:hAnsi="Myriad Pro Light" w:cs="Myriad Pro Light"/>
      <w:sz w:val="23"/>
      <w:szCs w:val="23"/>
      <w:lang w:bidi="en-US"/>
    </w:rPr>
  </w:style>
  <w:style w:type="character" w:styleId="Hyperlink">
    <w:name w:val="Hyperlink"/>
    <w:basedOn w:val="DefaultParagraphFont"/>
    <w:uiPriority w:val="99"/>
    <w:unhideWhenUsed/>
    <w:rsid w:val="00C86C64"/>
    <w:rPr>
      <w:color w:val="0000FF" w:themeColor="hyperlink"/>
      <w:u w:val="single"/>
    </w:rPr>
  </w:style>
  <w:style w:type="paragraph" w:styleId="Header">
    <w:name w:val="header"/>
    <w:basedOn w:val="Normal"/>
    <w:link w:val="HeaderChar"/>
    <w:uiPriority w:val="99"/>
    <w:unhideWhenUsed/>
    <w:rsid w:val="00C62CC4"/>
    <w:pPr>
      <w:tabs>
        <w:tab w:val="center" w:pos="4320"/>
        <w:tab w:val="right" w:pos="8640"/>
      </w:tabs>
    </w:pPr>
  </w:style>
  <w:style w:type="character" w:customStyle="1" w:styleId="HeaderChar">
    <w:name w:val="Header Char"/>
    <w:basedOn w:val="DefaultParagraphFont"/>
    <w:link w:val="Header"/>
    <w:uiPriority w:val="99"/>
    <w:rsid w:val="00C62CC4"/>
    <w:rPr>
      <w:rFonts w:ascii="Myriad Pro Light" w:eastAsia="Myriad Pro Light" w:hAnsi="Myriad Pro Light" w:cs="Myriad Pro Light"/>
      <w:sz w:val="22"/>
      <w:szCs w:val="22"/>
      <w:lang w:bidi="en-US"/>
    </w:rPr>
  </w:style>
  <w:style w:type="paragraph" w:styleId="Footer">
    <w:name w:val="footer"/>
    <w:basedOn w:val="Normal"/>
    <w:link w:val="FooterChar"/>
    <w:uiPriority w:val="99"/>
    <w:unhideWhenUsed/>
    <w:rsid w:val="00C62CC4"/>
    <w:pPr>
      <w:tabs>
        <w:tab w:val="center" w:pos="4320"/>
        <w:tab w:val="right" w:pos="8640"/>
      </w:tabs>
    </w:pPr>
  </w:style>
  <w:style w:type="character" w:customStyle="1" w:styleId="FooterChar">
    <w:name w:val="Footer Char"/>
    <w:basedOn w:val="DefaultParagraphFont"/>
    <w:link w:val="Footer"/>
    <w:uiPriority w:val="99"/>
    <w:rsid w:val="00C62CC4"/>
    <w:rPr>
      <w:rFonts w:ascii="Myriad Pro Light" w:eastAsia="Myriad Pro Light" w:hAnsi="Myriad Pro Light" w:cs="Myriad Pro Light"/>
      <w:sz w:val="22"/>
      <w:szCs w:val="22"/>
      <w:lang w:bidi="en-US"/>
    </w:rPr>
  </w:style>
  <w:style w:type="character" w:styleId="CommentReference">
    <w:name w:val="annotation reference"/>
    <w:basedOn w:val="DefaultParagraphFont"/>
    <w:uiPriority w:val="99"/>
    <w:semiHidden/>
    <w:unhideWhenUsed/>
    <w:rsid w:val="00876878"/>
    <w:rPr>
      <w:sz w:val="16"/>
      <w:szCs w:val="16"/>
    </w:rPr>
  </w:style>
  <w:style w:type="paragraph" w:styleId="CommentText">
    <w:name w:val="annotation text"/>
    <w:basedOn w:val="Normal"/>
    <w:link w:val="CommentTextChar"/>
    <w:uiPriority w:val="99"/>
    <w:semiHidden/>
    <w:unhideWhenUsed/>
    <w:rsid w:val="00876878"/>
    <w:rPr>
      <w:sz w:val="20"/>
      <w:szCs w:val="20"/>
    </w:rPr>
  </w:style>
  <w:style w:type="character" w:customStyle="1" w:styleId="CommentTextChar">
    <w:name w:val="Comment Text Char"/>
    <w:basedOn w:val="DefaultParagraphFont"/>
    <w:link w:val="CommentText"/>
    <w:uiPriority w:val="99"/>
    <w:semiHidden/>
    <w:rsid w:val="00876878"/>
    <w:rPr>
      <w:rFonts w:ascii="Myriad Pro Light" w:eastAsia="Myriad Pro Light" w:hAnsi="Myriad Pro Light" w:cs="Myriad Pro Light"/>
      <w:sz w:val="20"/>
      <w:szCs w:val="20"/>
      <w:lang w:bidi="en-US"/>
    </w:rPr>
  </w:style>
  <w:style w:type="paragraph" w:styleId="CommentSubject">
    <w:name w:val="annotation subject"/>
    <w:basedOn w:val="CommentText"/>
    <w:next w:val="CommentText"/>
    <w:link w:val="CommentSubjectChar"/>
    <w:uiPriority w:val="99"/>
    <w:semiHidden/>
    <w:unhideWhenUsed/>
    <w:rsid w:val="00876878"/>
    <w:rPr>
      <w:b/>
      <w:bCs/>
    </w:rPr>
  </w:style>
  <w:style w:type="character" w:customStyle="1" w:styleId="CommentSubjectChar">
    <w:name w:val="Comment Subject Char"/>
    <w:basedOn w:val="CommentTextChar"/>
    <w:link w:val="CommentSubject"/>
    <w:uiPriority w:val="99"/>
    <w:semiHidden/>
    <w:rsid w:val="00876878"/>
    <w:rPr>
      <w:rFonts w:ascii="Myriad Pro Light" w:eastAsia="Myriad Pro Light" w:hAnsi="Myriad Pro Light" w:cs="Myriad Pro Light"/>
      <w:b/>
      <w:bCs/>
      <w:sz w:val="20"/>
      <w:szCs w:val="20"/>
      <w:lang w:bidi="en-US"/>
    </w:rPr>
  </w:style>
  <w:style w:type="paragraph" w:styleId="BalloonText">
    <w:name w:val="Balloon Text"/>
    <w:basedOn w:val="Normal"/>
    <w:link w:val="BalloonTextChar"/>
    <w:uiPriority w:val="99"/>
    <w:semiHidden/>
    <w:unhideWhenUsed/>
    <w:rsid w:val="00876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878"/>
    <w:rPr>
      <w:rFonts w:ascii="Segoe UI" w:eastAsia="Myriad Pro Light" w:hAnsi="Segoe UI" w:cs="Segoe UI"/>
      <w:sz w:val="18"/>
      <w:szCs w:val="18"/>
      <w:lang w:bidi="en-US"/>
    </w:rPr>
  </w:style>
  <w:style w:type="character" w:styleId="UnresolvedMention">
    <w:name w:val="Unresolved Mention"/>
    <w:basedOn w:val="DefaultParagraphFont"/>
    <w:uiPriority w:val="99"/>
    <w:semiHidden/>
    <w:unhideWhenUsed/>
    <w:rsid w:val="008C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5874">
      <w:bodyDiv w:val="1"/>
      <w:marLeft w:val="0"/>
      <w:marRight w:val="0"/>
      <w:marTop w:val="0"/>
      <w:marBottom w:val="0"/>
      <w:divBdr>
        <w:top w:val="none" w:sz="0" w:space="0" w:color="auto"/>
        <w:left w:val="none" w:sz="0" w:space="0" w:color="auto"/>
        <w:bottom w:val="none" w:sz="0" w:space="0" w:color="auto"/>
        <w:right w:val="none" w:sz="0" w:space="0" w:color="auto"/>
      </w:divBdr>
    </w:div>
    <w:div w:id="295377163">
      <w:bodyDiv w:val="1"/>
      <w:marLeft w:val="0"/>
      <w:marRight w:val="0"/>
      <w:marTop w:val="0"/>
      <w:marBottom w:val="0"/>
      <w:divBdr>
        <w:top w:val="none" w:sz="0" w:space="0" w:color="auto"/>
        <w:left w:val="none" w:sz="0" w:space="0" w:color="auto"/>
        <w:bottom w:val="none" w:sz="0" w:space="0" w:color="auto"/>
        <w:right w:val="none" w:sz="0" w:space="0" w:color="auto"/>
      </w:divBdr>
    </w:div>
    <w:div w:id="1055086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2b74e43866fc5b8f1f15155c434c7c1d&amp;term_occur=999&amp;term_src=Title:45:Chapter:A:Subchapter:B:Part:146:Subpart:C:146.136" TargetMode="External"/><Relationship Id="rId13" Type="http://schemas.openxmlformats.org/officeDocument/2006/relationships/hyperlink" Target="https://www.dol.gov/sites/dolgov/files/EBSA/about-ebsa/our-activities/resource-center/faqs/aca-part-45.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law.cornell.edu/definitions/index.php?width=840&amp;height=800&amp;iframe=true&amp;def_id=2b74e43866fc5b8f1f15155c434c7c1d&amp;term_occur=999&amp;term_src=Title:45:Chapter:A:Subchapter:B:Part:146:Subpart:C:146.136" TargetMode="External"/><Relationship Id="rId12" Type="http://schemas.openxmlformats.org/officeDocument/2006/relationships/hyperlink" Target="https://www.dol.gov/sites/dolgov/files/EBSA/about-ebsa/our-activities/resource-center/faqs/aca-part-45.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sites/dolgov/files/EBSA/about-ebsa/our-activities/resource-center/faqs/aca-part-45.pdf" TargetMode="External"/><Relationship Id="rId5" Type="http://schemas.openxmlformats.org/officeDocument/2006/relationships/footnotes" Target="footnotes.xml"/><Relationship Id="rId15" Type="http://schemas.openxmlformats.org/officeDocument/2006/relationships/hyperlink" Target="https://www.dol.gov/sites/dolgov/files/EBSA/about-ebsa/our-activities/resource-center/faqs/aca-part-45.pdf" TargetMode="External"/><Relationship Id="rId23" Type="http://schemas.openxmlformats.org/officeDocument/2006/relationships/customXml" Target="../customXml/item3.xml"/><Relationship Id="rId10" Type="http://schemas.openxmlformats.org/officeDocument/2006/relationships/hyperlink" Target="https://www.law.cornell.edu/definitions/index.php?width=840&amp;height=800&amp;iframe=true&amp;def_id=2b74e43866fc5b8f1f15155c434c7c1d&amp;term_occur=999&amp;term_src=Title:45:Chapter:A:Subchapter:B:Part:146:Subpart:C:146.1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fdefbab09dc02dd7b8d85e24bf79688e&amp;term_occur=999&amp;term_src=Title:45:Chapter:A:Subchapter:B:Part:146:Subpart:C:146.136" TargetMode="External"/><Relationship Id="rId14" Type="http://schemas.openxmlformats.org/officeDocument/2006/relationships/hyperlink" Target="https://www.dol.gov/sites/dolgov/files/EBSA/about-ebsa/our-activities/resource-center/faqs/aca-part-45.pdf"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18502F62404098FDBF0C96E710D6" ma:contentTypeVersion="9" ma:contentTypeDescription="Create a new document." ma:contentTypeScope="" ma:versionID="b96a939314ed39cf04fefa03df8f7bed">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BA744A-6F10-408E-AD32-D60249371106}"/>
</file>

<file path=customXml/itemProps2.xml><?xml version="1.0" encoding="utf-8"?>
<ds:datastoreItem xmlns:ds="http://schemas.openxmlformats.org/officeDocument/2006/customXml" ds:itemID="{8E2DE6DE-3D98-4EBD-842C-2118E13A48E2}"/>
</file>

<file path=customXml/itemProps3.xml><?xml version="1.0" encoding="utf-8"?>
<ds:datastoreItem xmlns:ds="http://schemas.openxmlformats.org/officeDocument/2006/customXml" ds:itemID="{3B84F7CA-D293-48E0-A06B-FAEC7EBADC22}"/>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1713</Words>
  <Characters>9235</Characters>
  <Application>Microsoft Office Word</Application>
  <DocSecurity>0</DocSecurity>
  <Lines>329</Lines>
  <Paragraphs>160</Paragraphs>
  <ScaleCrop>false</ScaleCrop>
  <HeadingPairs>
    <vt:vector size="2" baseType="variant">
      <vt:variant>
        <vt:lpstr>Title</vt:lpstr>
      </vt:variant>
      <vt:variant>
        <vt:i4>1</vt:i4>
      </vt:variant>
    </vt:vector>
  </HeadingPairs>
  <TitlesOfParts>
    <vt:vector size="1" baseType="lpstr">
      <vt:lpstr/>
    </vt:vector>
  </TitlesOfParts>
  <Company>Scattergood Foundation</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NQTL Reporting Form</dc:title>
  <dc:subject/>
  <dc:creator>Scattergood Foundation</dc:creator>
  <cp:keywords>NQTL Reporting Form</cp:keywords>
  <dc:description/>
  <cp:lastModifiedBy>Mohrman David S</cp:lastModifiedBy>
  <cp:revision>2</cp:revision>
  <dcterms:created xsi:type="dcterms:W3CDTF">2025-12-11T19:05:00Z</dcterms:created>
  <dcterms:modified xsi:type="dcterms:W3CDTF">2025-12-11T19:05:00Z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2024-10-30T20:57:30Z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d154bd24-a603-4680-89b7-7ccd7a730368</vt:lpwstr>
  </property>
  <property fmtid="{D5CDD505-2E9C-101B-9397-08002B2CF9AE}" pid="8" name="MSIP_Label_db79d039-fcd0-4045-9c78-4cfb2eba0904_ContentBits">
    <vt:lpwstr>0</vt:lpwstr>
  </property>
  <property fmtid="{D5CDD505-2E9C-101B-9397-08002B2CF9AE}" pid="9" name="ContentTypeId">
    <vt:lpwstr>0x0101006A0E18502F62404098FDBF0C96E710D6</vt:lpwstr>
  </property>
</Properties>
</file>